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系统架构</w:t>
      </w:r>
    </w:p>
    <w:p>
      <w:pPr>
        <w:pStyle w:val="9"/>
        <w:spacing w:line="240" w:lineRule="auto"/>
        <w:ind w:firstLineChars="0"/>
        <w:rPr>
          <w:rFonts w:hint="eastAsia" w:ascii="宋体" w:hAnsi="宋体" w:eastAsia="宋体" w:cs="宋体"/>
          <w:sz w:val="24"/>
          <w:szCs w:val="24"/>
        </w:rPr>
      </w:pPr>
      <w:r>
        <w:rPr>
          <w:rFonts w:hint="eastAsia" w:ascii="宋体" w:hAnsi="宋体" w:eastAsia="宋体" w:cs="宋体"/>
          <w:sz w:val="24"/>
          <w:szCs w:val="24"/>
        </w:rPr>
        <w:t>本系统采用自行开发的系统，安全可控，基于J2EE技术路线，采用业界主流的VUE技术框架，技术架构设计支持国产化的操作系统、中间件、数据库、浏览器等，并通过了国产化部署和运行测试。</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数据中心建设</w:t>
      </w:r>
    </w:p>
    <w:p>
      <w:pPr>
        <w:pStyle w:val="4"/>
        <w:spacing w:line="240" w:lineRule="auto"/>
        <w:ind w:firstLine="482" w:firstLineChars="200"/>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snapToGrid w:val="0"/>
          <w:color w:val="000000"/>
          <w:kern w:val="0"/>
          <w:sz w:val="24"/>
          <w:szCs w:val="24"/>
          <w:lang w:val="en-US" w:eastAsia="zh-CN"/>
        </w:rPr>
        <w:t>构建检察院“行刑公”三法衔接大数据中心，数据主要包括</w:t>
      </w:r>
      <w:r>
        <w:rPr>
          <w:rFonts w:hint="eastAsia" w:ascii="宋体" w:hAnsi="宋体" w:eastAsia="宋体" w:cs="宋体"/>
          <w:snapToGrid w:val="0"/>
          <w:color w:val="000000"/>
          <w:kern w:val="0"/>
          <w:sz w:val="24"/>
          <w:szCs w:val="24"/>
        </w:rPr>
        <w:t>综合行政执法和行政非诉执行案件全流程数据</w:t>
      </w:r>
      <w:r>
        <w:rPr>
          <w:rFonts w:hint="eastAsia" w:ascii="宋体" w:hAnsi="宋体" w:eastAsia="宋体" w:cs="宋体"/>
          <w:snapToGrid w:val="0"/>
          <w:color w:val="000000"/>
          <w:kern w:val="0"/>
          <w:sz w:val="24"/>
          <w:szCs w:val="24"/>
          <w:lang w:val="en-US" w:eastAsia="zh-CN"/>
        </w:rPr>
        <w:t>及“常检云”刑事办案数据。行政执法数据要素主要包括行政执法主体、案发时间、案发地点、涉案金额、涉案物品、违法事实、行政立案、行政不予立案、行政处罚依据、处罚类型、处罚内容、罚款交纳、催告履行、送达、行政相对人姓名及身份证号、涉案企业名称及注册地、企业统一社会信用代码等 17 项。行政非诉执行数据要素主要包括行政机关执行金额、未执行金额、申请强制执行时间、撤回强制执行时间、申请强制执行金额和法院受理时间、立案时间、裁定执行时间、裁定执行内容、强制执行时间、执行结果等 10 余项。“常检云”刑事办案数据包括案件详情、案卡、卷宗、文书等。</w:t>
      </w:r>
      <w:r>
        <w:rPr>
          <w:rFonts w:hint="eastAsia" w:ascii="宋体" w:hAnsi="宋体" w:eastAsia="宋体" w:cs="宋体"/>
          <w:b/>
          <w:bCs/>
          <w:snapToGrid w:val="0"/>
          <w:color w:val="000000"/>
          <w:kern w:val="0"/>
          <w:sz w:val="24"/>
          <w:szCs w:val="24"/>
          <w:lang w:val="en-US" w:eastAsia="zh-CN"/>
        </w:rPr>
        <w:t>（投标时需提供常检云数据接口证明文件或接口授权证明，否则投标无效）</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数据采集系统</w:t>
      </w:r>
    </w:p>
    <w:p>
      <w:pPr>
        <w:pStyle w:val="6"/>
        <w:spacing w:line="240" w:lineRule="auto"/>
        <w:ind w:left="0" w:leftChars="0" w:firstLine="480" w:firstLineChars="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利用RPA流程自动化采集系统，对外网综合行政执法系统中所有数据进行本地化采集工作。并按照监督规则要素进行本地化存储。支持将数据一键导出、导入功能。并根据数据更新频次设定定时采集计划。</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OCR图文转换服务</w:t>
      </w:r>
    </w:p>
    <w:p>
      <w:pPr>
        <w:pStyle w:val="6"/>
        <w:spacing w:line="240" w:lineRule="auto"/>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供一套专业且识别率极高的“OCR文字识别”系统转换服务，在检察院内网部署，利用接口进行开发，做的一个批量识别程序，能够非常准确的识别案件电子卷宗图像中的文字，通过采用优化的光学字符识别系统，将所有得电子卷宗识别成文字形式，并可通过双层PDF形式展示。 </w:t>
      </w:r>
    </w:p>
    <w:p>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数据要素提取</w:t>
      </w:r>
    </w:p>
    <w:p>
      <w:pPr>
        <w:pStyle w:val="6"/>
        <w:spacing w:line="240" w:lineRule="auto"/>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信息抽取是从自然语言文本中抽取出任务所需的特定信息，帮助我们将</w:t>
      </w:r>
      <w:r>
        <w:rPr>
          <w:rFonts w:hint="eastAsia" w:ascii="宋体" w:hAnsi="宋体" w:eastAsia="宋体" w:cs="宋体"/>
          <w:snapToGrid w:val="0"/>
          <w:color w:val="000000"/>
          <w:kern w:val="0"/>
          <w:sz w:val="24"/>
          <w:szCs w:val="24"/>
        </w:rPr>
        <w:t>综合行政执法</w:t>
      </w:r>
      <w:r>
        <w:rPr>
          <w:rFonts w:hint="eastAsia" w:ascii="宋体" w:hAnsi="宋体" w:eastAsia="宋体" w:cs="宋体"/>
          <w:snapToGrid w:val="0"/>
          <w:color w:val="000000"/>
          <w:kern w:val="0"/>
          <w:sz w:val="24"/>
          <w:szCs w:val="24"/>
          <w:lang w:val="en-US" w:eastAsia="zh-CN"/>
        </w:rPr>
        <w:t>平台</w:t>
      </w:r>
      <w:r>
        <w:rPr>
          <w:rFonts w:hint="eastAsia" w:ascii="宋体" w:hAnsi="宋体" w:eastAsia="宋体" w:cs="宋体"/>
          <w:snapToGrid w:val="0"/>
          <w:color w:val="000000"/>
          <w:kern w:val="0"/>
          <w:sz w:val="24"/>
          <w:szCs w:val="24"/>
        </w:rPr>
        <w:t>和行政非诉执行案件</w:t>
      </w:r>
      <w:r>
        <w:rPr>
          <w:rFonts w:hint="eastAsia" w:ascii="宋体" w:hAnsi="宋体" w:eastAsia="宋体" w:cs="宋体"/>
          <w:snapToGrid w:val="0"/>
          <w:color w:val="000000"/>
          <w:kern w:val="0"/>
          <w:sz w:val="24"/>
          <w:szCs w:val="24"/>
          <w:lang w:val="en-US" w:eastAsia="zh-CN"/>
        </w:rPr>
        <w:t>中的资质卷宗或者文书中</w:t>
      </w:r>
      <w:r>
        <w:rPr>
          <w:rFonts w:hint="eastAsia" w:ascii="宋体" w:hAnsi="宋体" w:eastAsia="宋体" w:cs="宋体"/>
          <w:sz w:val="24"/>
          <w:szCs w:val="24"/>
          <w:lang w:val="en-US" w:eastAsia="zh-CN"/>
        </w:rPr>
        <w:t>的内容进行自动分类、提取并按照要求入库。</w:t>
      </w:r>
    </w:p>
    <w:p>
      <w:pPr>
        <w:pStyle w:val="6"/>
        <w:spacing w:line="240" w:lineRule="auto"/>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文本信息抽取主要包括以下三个方面的内容：</w:t>
      </w:r>
    </w:p>
    <w:p>
      <w:pPr>
        <w:pStyle w:val="6"/>
        <w:spacing w:line="240" w:lineRule="auto"/>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（1）自动处理非结构化的自然语言文本数据</w:t>
      </w:r>
    </w:p>
    <w:p>
      <w:pPr>
        <w:pStyle w:val="6"/>
        <w:spacing w:line="240" w:lineRule="auto"/>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（2）根据需要选择性地抽取出文本中的信息</w:t>
      </w:r>
    </w:p>
    <w:p>
      <w:pPr>
        <w:pStyle w:val="6"/>
        <w:spacing w:line="240" w:lineRule="auto"/>
        <w:ind w:left="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（3）根据抽取的信息形成结构化的数据表示</w:t>
      </w:r>
    </w:p>
    <w:p>
      <w:pPr>
        <w:pStyle w:val="3"/>
        <w:spacing w:line="240" w:lineRule="auto"/>
        <w:rPr>
          <w:rFonts w:hint="eastAsia" w:ascii="宋体" w:hAnsi="宋体" w:eastAsia="宋体" w:cs="宋体"/>
          <w:sz w:val="24"/>
          <w:szCs w:val="24"/>
        </w:rPr>
      </w:pPr>
      <w:r>
        <w:rPr>
          <w:rFonts w:hint="eastAsia" w:ascii="宋体" w:hAnsi="宋体" w:eastAsia="宋体" w:cs="宋体"/>
          <w:sz w:val="24"/>
          <w:szCs w:val="24"/>
        </w:rPr>
        <w:t>监督模型</w:t>
      </w:r>
      <w:r>
        <w:rPr>
          <w:rFonts w:hint="eastAsia" w:ascii="宋体" w:hAnsi="宋体" w:eastAsia="宋体" w:cs="宋体"/>
          <w:sz w:val="24"/>
          <w:szCs w:val="24"/>
          <w:lang w:val="en-US" w:eastAsia="zh-CN"/>
        </w:rPr>
        <w:t>定义</w:t>
      </w:r>
    </w:p>
    <w:p>
      <w:pPr>
        <w:pStyle w:val="6"/>
        <w:spacing w:line="240" w:lineRule="auto"/>
        <w:ind w:left="0" w:leftChars="0" w:firstLine="64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围绕“行刑公”三法衔接大数据监督方向在系统建立相关监督模型，包含行政行为违法（7个）、法院审查和执行违法（5个）、行刑衔接（18个）、行公刑衔接（6个）四大方向。</w:t>
      </w:r>
      <w:r>
        <w:rPr>
          <w:rFonts w:hint="eastAsia" w:ascii="宋体" w:hAnsi="宋体" w:eastAsia="宋体" w:cs="宋体"/>
          <w:b/>
          <w:bCs/>
          <w:sz w:val="24"/>
          <w:szCs w:val="24"/>
          <w:lang w:val="en-US" w:eastAsia="zh-CN"/>
        </w:rPr>
        <w:t>所有模型支持一键导出功能，为后期上级单位数据融合做准备。</w:t>
      </w:r>
    </w:p>
    <w:p>
      <w:pPr>
        <w:pStyle w:val="6"/>
        <w:spacing w:line="240" w:lineRule="auto"/>
        <w:ind w:left="0" w:leftChars="0" w:firstLine="64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具体监督模型如下：</w:t>
      </w:r>
    </w:p>
    <w:p>
      <w:pPr>
        <w:pStyle w:val="6"/>
        <w:spacing w:line="240" w:lineRule="auto"/>
        <w:ind w:left="0" w:leftChars="0" w:firstLine="64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①行政行为违法：</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行政机关超期未申请强制执行: 行政相对人收到行政处罚决定书后，没有自动履行，且没有在 60 日内申请行政复议或者 6个月内提起行政诉讼，判定为需行政机关申请非诉执行，行政机关没有在期限届满之日起3 个月内向法院申请非诉执行，且行政相对人仍未自动履行，判定为行政机关急于申请</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行政机关申请强制执行未经催告:行政机关在 1-1期限届满后，未向行政相对人送达《履行行政处罚决定催告书》，或者在送达后 10 日内，即向法院申请非诉执行，判定为行政机关违法申请。</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行政机关超前申请强制执行:行机关在 1-1 规则期限届满之前向法院申请非诉执行;相对人提起行政复议，行政机关在复议期间申请强制执行的;相对人提起行政诉讼，行政机关在诉讼期间申请强制执行的;行政相对人自动履行后行政机关向法院申请非诉执行，判定为行政机关超前申请。</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行政机关申请强制执行金额错误:相对人的行政处罚和应当履行金额与行政机关实际申请执行的金额不一致，判定申请执行金额错误。</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执法人员少于两人: 行政案件信息承办人栏少于两人的，判定行政机关执法主体人数违法。</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 行政处罚办案期限超期: 行政处罚案件立案之日起至作出行政处罚决定之日止，超过 90 天的，无扣除、延长期限情形的，判定为行政机关超期办案</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 行政处罚决定书未送达相对人:无送达回证或送达回证人无相对人签收信息的，判定为未送达相对人。</w:t>
      </w:r>
    </w:p>
    <w:p>
      <w:pPr>
        <w:pStyle w:val="6"/>
        <w:spacing w:line="240" w:lineRule="auto"/>
        <w:ind w:left="0" w:leftChars="0" w:firstLine="64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②法院审查和执行违法</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法院超期立案:行政机关申请非诉执行后，法院未在 5日内予以受理，亦未裁定不予受理，且行政相对人仍未自动履行，判定为法院消极受理、超期立案。</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法院超期裁定: 法院受理立案后，未在 7日内作出是否准予强制执行的裁定，或者因实质审查需要未在 30 日内作出裁定，且行政相对人仍未自动履行，判定为法院超期裁定。</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法院裁定违法: 法院裁定准予强制执行内容遗漏行政机关申请项目，或者超出行政机关申请范围，判定为法院违法裁定。</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 法院怠于执行: 法院作出准予执行裁定后，超出 3个月未执行结案，且行政相对人仍未自动履行，判定为法院怠于执行。</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 法院终本执行错误:执行标的包括非金钱债权，法院裁定终结本次执行的，判定为法院终本执行错误.</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③行刑衔接</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3-1:构成非法行医罪:非法行医被行政处罚两次以后再次非法行医的;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3-2:二年内曾因违反国家规定，排放、倾倒、处置有放射性的废物、含传染病病原体的废物、有毒物质受过两次以上行政处罚，又实施前列行为的;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3-3:拒不支付劳动报酬罪:逃避支付或有能力支付而拒不支付，数额较大，且经政府有关部门责令支付仍不支付(关键词:《限期改正通知书》《责令改正决定书》的。劳动报酬、拒不支付、转移财产、逃匿。)</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(入罪标准:拒不支付一名劳动者三个月以上劳动报酬且数额在一万元以上的;拒不支付十名劳动者的劳动报酬且数额在六万元以上的;)</w:t>
      </w:r>
    </w:p>
    <w:p>
      <w:pPr>
        <w:pStyle w:val="6"/>
        <w:spacing w:line="240" w:lineRule="auto"/>
        <w:ind w:left="0" w:leftChars="0" w:firstLine="640"/>
        <w:rPr>
          <w:rFonts w:hint="eastAsia" w:ascii="宋体" w:hAnsi="宋体" w:eastAsia="宋体" w:cs="宋体"/>
          <w:sz w:val="24"/>
          <w:szCs w:val="24"/>
          <w:lang w:val="en-US" w:eastAsia="zh-CN"/>
        </w:rPr>
      </w:pP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 危险作业罪:在生产作业中违反安全管理规定，有下列情形之一的，具有发生重大伤亡事故或者其他严重后果的现实危险的;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(1)因存在重大事故隐患而被行政机关依法责令停产停业、停止施工、停止使用有关设备、设施、场所或者立即采取排除危险的整改措施，而拒不执行的。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(2)涉及安全生产的事项未经依法批准或许可，擅自从事矿山开采、金属冶炼、建筑施工，以及危险物品生产经营、储存等高度危险生产作业活动的;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(关键词:责令停产停业;责令停止施工;责令整改;未经批准;未经许可;事故隐患;高度危险生产作业)</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(入罪标准:造成一人死亡或重伤三人以上的;造成直接损失 100 万元以上的 )</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 重大责任事故罪: 在生产、作业过程中违反有关安全管理规定，因而发生重大伤亡事故或造成其他严重后果的。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(关键词:事故隐患;安全生产，事故;)</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(入罪标准:造成一人死亡或重伤三人以上的;造成直接损失 100 万元以上的)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 重大劳动安全事故罪 安全生产设施或安全生产条件不符合国家规定，因而发生重大伤亡事故或造成其他严重后果的,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(关键词:安全生产设施;安全生产条件;职业病;)(入罪标准:造成一人死亡或重伤三人以上的;造成直接损失 100 万元以上的)身不得从事食品生产经营管理工作，也不得担任食品生产经营企业食品安全管理工作。</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3-8:曾因食品安全犯罪被判处有期徒刑以上刑罚的，终身不得从事生猪屠宰工作。</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 生产经营单位的主要负责人因未履行安全生产管理职责受刑事处罚的，自刑罚执行完毕之日起，五年内不得担任任何生产经营单位的主要负责人;对重大、特别重大生产安全事故负有责任的，终身不得担任本行业生产经营单位的主要负责人。</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3-10:生产、销售伪劣产品销售金额达五万元的。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3-11:生产、销售假药的。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3-12:生产、销售劣药对人体健康造成严重危害的。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 生产、销售不符合安全标准的食品，足以造成严重食品中毒事故或其他严重食源性疾病的。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 在生产、销售的食品中掺入有毒、有害的非食品原料的。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 生产、销售不符合保障人体健康的国家标准、行业标准的医疗器械、医用卫生材料，足以严重危害人体健康的。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3-16: 生产、销售不符合保障人身、财产安全的国家标准、行业标准的电器、压力容器、易燃易爆炸产品及其他产品的。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3-17:生产假农药、兽药、化肥、种子或者销售明知是假的或失去使用效能的农药、兽药、化肥、种子的。</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3-18:生产、销售不符合卫生标准的化妆品，造成严重后果的。</w:t>
      </w:r>
    </w:p>
    <w:p>
      <w:pPr>
        <w:pStyle w:val="6"/>
        <w:spacing w:line="240" w:lineRule="auto"/>
        <w:ind w:left="0" w:leftChars="0" w:firstLine="64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④:行公衔接</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行政机关不正当履行职责: 案件状态为“不予立案”的案件。</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行政机关怠于履行职责: 立案日期超过 90 天以上仍未作出行政处罚决定的案件。</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生态环境领域: 违法事实和处罚标准中有污染、废物、垃圾、城市容貌、环境卫生字样的案件。</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食品药品安全领域: 违法事实和处罚标准中有食品药品、非法行医、医疗字样的案件。</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安全生产领域: 违法事实和处罚标准中有安全、工程质量、特种设备字样的案件。</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其他领域: 违法事实和处罚标准中有女、无障碍文物、虚假广告、霸王条款字样的案件。</w:t>
      </w:r>
    </w:p>
    <w:p>
      <w:pPr>
        <w:pStyle w:val="6"/>
        <w:spacing w:line="240" w:lineRule="auto"/>
        <w:ind w:left="0" w:leftChars="0" w:firstLine="64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刑事案件法律监督</w:t>
      </w:r>
    </w:p>
    <w:p>
      <w:pPr>
        <w:pStyle w:val="2"/>
        <w:spacing w:line="240" w:lineRule="auto"/>
        <w:ind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将以检察统一业务系统中所有刑事案件信息为基础（包括案卡、文书、卷宗），通过不同战法的设定，即时发现法律监督线索并推送至相关人员手中，系统还可以对线索办理情况进行全流程记录，时间节点、办理进度都清晰留痕，确保分流出去的每条线索都有回音。涉及生态环境和资源保护、食品药品安全、国有财产保护、国有土地使用权出让、英烈权益保护、安全生产、个人信息保护、军人地位和权益保护等。设定相关罪名及关键词内容，形成模型元素。可实现战法元素的多选，形成相关监督模型。</w:t>
      </w:r>
    </w:p>
    <w:p>
      <w:pPr>
        <w:pStyle w:val="3"/>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线索推送</w:t>
      </w:r>
    </w:p>
    <w:p>
      <w:pPr>
        <w:pStyle w:val="6"/>
        <w:spacing w:line="240" w:lineRule="auto"/>
        <w:ind w:left="0" w:leftChars="0" w:firstLine="640"/>
        <w:rPr>
          <w:rFonts w:hint="eastAsia" w:ascii="宋体" w:hAnsi="宋体" w:eastAsia="宋体" w:cs="宋体"/>
          <w:sz w:val="24"/>
          <w:szCs w:val="24"/>
        </w:rPr>
      </w:pPr>
      <w:r>
        <w:rPr>
          <w:rFonts w:hint="eastAsia" w:ascii="宋体" w:hAnsi="宋体" w:eastAsia="宋体" w:cs="宋体"/>
          <w:sz w:val="24"/>
          <w:szCs w:val="24"/>
        </w:rPr>
        <w:t>线索管理是对智能分析研判后的法律监督线索进行评估、调查、审核和综合管理</w:t>
      </w:r>
      <w:r>
        <w:rPr>
          <w:rFonts w:hint="eastAsia" w:ascii="宋体" w:hAnsi="宋体" w:eastAsia="宋体" w:cs="宋体"/>
          <w:sz w:val="24"/>
          <w:szCs w:val="24"/>
          <w:lang w:val="en-US" w:eastAsia="zh-CN"/>
        </w:rPr>
        <w:t>应用</w:t>
      </w:r>
      <w:r>
        <w:rPr>
          <w:rFonts w:hint="eastAsia" w:ascii="宋体" w:hAnsi="宋体" w:eastAsia="宋体" w:cs="宋体"/>
          <w:sz w:val="24"/>
          <w:szCs w:val="24"/>
        </w:rPr>
        <w:t>。线索的管理实行一案一登记，一案一移送，将所发现的监督线索根据职能推送至各个部门，如民事监督部门、刑事监督部门、行政监督部门等</w:t>
      </w:r>
      <w:r>
        <w:rPr>
          <w:rFonts w:hint="eastAsia" w:ascii="宋体" w:hAnsi="宋体" w:eastAsia="宋体" w:cs="宋体"/>
          <w:sz w:val="24"/>
          <w:szCs w:val="24"/>
          <w:lang w:val="en-US" w:eastAsia="zh-CN"/>
        </w:rPr>
        <w:t>线索</w:t>
      </w:r>
      <w:r>
        <w:rPr>
          <w:rFonts w:hint="eastAsia" w:ascii="宋体" w:hAnsi="宋体" w:eastAsia="宋体" w:cs="宋体"/>
          <w:sz w:val="24"/>
          <w:szCs w:val="24"/>
        </w:rPr>
        <w:t>，通过系统</w:t>
      </w:r>
      <w:r>
        <w:rPr>
          <w:rFonts w:hint="eastAsia" w:ascii="宋体" w:hAnsi="宋体" w:eastAsia="宋体" w:cs="宋体"/>
          <w:sz w:val="24"/>
          <w:szCs w:val="24"/>
          <w:lang w:val="en-US" w:eastAsia="zh-CN"/>
        </w:rPr>
        <w:t>对应已送至相关部门</w:t>
      </w:r>
      <w:r>
        <w:rPr>
          <w:rFonts w:hint="eastAsia" w:ascii="宋体" w:hAnsi="宋体" w:eastAsia="宋体" w:cs="宋体"/>
          <w:sz w:val="24"/>
          <w:szCs w:val="24"/>
        </w:rPr>
        <w:t>。线索管理对线索评估、线索调查、线索审核等关键业务环节进行管理，并对相关线索处理结果在线登记，以全面简单的线索管理流程辅助案件办理。</w:t>
      </w:r>
    </w:p>
    <w:p>
      <w:pPr>
        <w:pStyle w:val="3"/>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流程管理：</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线索管理系统对线</w:t>
      </w:r>
      <w:bookmarkStart w:id="0" w:name="_GoBack"/>
      <w:bookmarkEnd w:id="0"/>
      <w:r>
        <w:rPr>
          <w:rFonts w:hint="eastAsia" w:ascii="宋体" w:hAnsi="宋体" w:eastAsia="宋体" w:cs="宋体"/>
          <w:sz w:val="24"/>
          <w:szCs w:val="24"/>
          <w:lang w:val="en-US" w:eastAsia="zh-CN"/>
        </w:rPr>
        <w:t>索评估、线索调查、线索审核等关键业务环节进行管理，并对相关线索处理结果在线登记，以全面简单的线索管理流程辅助案件办理。系统中将对所有发现线索从发现时间、办理节点、办理人员、办理情况进行全流程记录。</w:t>
      </w:r>
    </w:p>
    <w:p>
      <w:pPr>
        <w:pStyle w:val="3"/>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数据统计</w:t>
      </w:r>
    </w:p>
    <w:p>
      <w:pPr>
        <w:pStyle w:val="6"/>
        <w:spacing w:line="240" w:lineRule="auto"/>
        <w:ind w:left="0" w:leftChars="0" w:firstLine="6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大数据中心抽取多维度的数据结果进行综合展示分析，向用户提供全面、真实、丰富的数据分析功能。系统根据核心数据进行统计展示，包括数据源统计、监督模型统计、线索统计、办理案件数统计等。可按照单位、部门、业务类型等多维度统计并图形化展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ZDBiOWQ4MTFlMWMxZjcwNWQ2YjUwZGM4ODkxMWQifQ=="/>
  </w:docVars>
  <w:rsids>
    <w:rsidRoot w:val="00000000"/>
    <w:rsid w:val="00B0507A"/>
    <w:rsid w:val="0CD865ED"/>
    <w:rsid w:val="39DE7F87"/>
    <w:rsid w:val="5C2663DF"/>
    <w:rsid w:val="7249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toa heading"/>
    <w:basedOn w:val="1"/>
    <w:next w:val="1"/>
    <w:semiHidden/>
    <w:qFormat/>
    <w:uiPriority w:val="0"/>
    <w:pPr>
      <w:spacing w:before="120"/>
    </w:pPr>
    <w:rPr>
      <w:rFonts w:ascii="Arial" w:hAnsi="Arial"/>
    </w:rPr>
  </w:style>
  <w:style w:type="paragraph" w:styleId="5">
    <w:name w:val="Body Text Indent"/>
    <w:basedOn w:val="1"/>
    <w:next w:val="1"/>
    <w:qFormat/>
    <w:uiPriority w:val="0"/>
    <w:pPr>
      <w:widowControl w:val="0"/>
      <w:spacing w:line="440" w:lineRule="exact"/>
      <w:ind w:firstLine="196" w:firstLineChars="196"/>
      <w:jc w:val="both"/>
    </w:pPr>
    <w:rPr>
      <w:rFonts w:ascii="宋体" w:cs="Century"/>
      <w:spacing w:val="2"/>
      <w:kern w:val="2"/>
      <w:sz w:val="21"/>
      <w:szCs w:val="24"/>
      <w:lang w:val="en-US" w:eastAsia="zh-CN" w:bidi="ar-SA"/>
    </w:rPr>
  </w:style>
  <w:style w:type="paragraph" w:styleId="6">
    <w:name w:val="Body Text First Indent 2"/>
    <w:basedOn w:val="5"/>
    <w:next w:val="1"/>
    <w:qFormat/>
    <w:uiPriority w:val="0"/>
    <w:pPr>
      <w:tabs>
        <w:tab w:val="left" w:pos="0"/>
        <w:tab w:val="left" w:pos="993"/>
        <w:tab w:val="left" w:pos="1134"/>
      </w:tabs>
      <w:ind w:firstLine="420"/>
    </w:pPr>
  </w:style>
  <w:style w:type="paragraph" w:customStyle="1" w:styleId="9">
    <w:name w:val="正文首行缩进:  2 字符"/>
    <w:basedOn w:val="1"/>
    <w:qFormat/>
    <w:uiPriority w:val="0"/>
    <w:pPr>
      <w:spacing w:line="360" w:lineRule="auto"/>
      <w:ind w:firstLine="420" w:firstLineChars="200"/>
    </w:pPr>
    <w:rPr>
      <w:rFonts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3898</Words>
  <Characters>4030</Characters>
  <Lines>0</Lines>
  <Paragraphs>0</Paragraphs>
  <TotalTime>0</TotalTime>
  <ScaleCrop>false</ScaleCrop>
  <LinksUpToDate>false</LinksUpToDate>
  <CharactersWithSpaces>4101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2023-06-21T02:01:58Z</dcterms:created>
  <dc:creator>Administrator</dc:creator>
  <cp:lastModifiedBy>coppii</cp:lastModifiedBy>
  <dcterms:modified xsi:type="dcterms:W3CDTF">2023-06-21T02:02:16Z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32E297F4D7514F72A6248120BE66529E_12</vt:lpwstr>
  </property>
</Properties>
</file>