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eastAsia="宋体" w:cs="宋体"/>
          <w:color w:val="auto"/>
          <w:sz w:val="60"/>
          <w:szCs w:val="60"/>
          <w:highlight w:val="none"/>
        </w:rPr>
      </w:pPr>
      <w:bookmarkStart w:id="256" w:name="_GoBack"/>
      <w:bookmarkEnd w:id="256"/>
      <w:r>
        <w:rPr>
          <w:rFonts w:hint="eastAsia" w:ascii="宋体" w:hAnsi="宋体" w:eastAsia="宋体" w:cs="宋体"/>
          <w:color w:val="auto"/>
          <w:sz w:val="32"/>
          <w:szCs w:val="32"/>
          <w:highlight w:val="none"/>
        </w:rPr>
        <w:t xml:space="preserve"> </w:t>
      </w: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竞</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争</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性</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磋</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商</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文</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件</w:t>
      </w:r>
    </w:p>
    <w:p>
      <w:pPr>
        <w:spacing w:line="360" w:lineRule="auto"/>
        <w:jc w:val="center"/>
        <w:rPr>
          <w:rFonts w:hint="eastAsia" w:ascii="宋体" w:hAnsi="宋体" w:eastAsia="宋体" w:cs="宋体"/>
          <w:b/>
          <w:bCs/>
          <w:color w:val="auto"/>
          <w:sz w:val="60"/>
          <w:szCs w:val="60"/>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p>
    <w:p>
      <w:pPr>
        <w:keepNext w:val="0"/>
        <w:keepLines w:val="0"/>
        <w:pageBreakBefore w:val="0"/>
        <w:widowControl w:val="0"/>
        <w:tabs>
          <w:tab w:val="left" w:pos="5609"/>
        </w:tabs>
        <w:kinsoku/>
        <w:wordWrap/>
        <w:overflowPunct/>
        <w:topLinePunct w:val="0"/>
        <w:autoSpaceDE/>
        <w:autoSpaceDN/>
        <w:bidi w:val="0"/>
        <w:adjustRightInd/>
        <w:snapToGrid/>
        <w:spacing w:line="480" w:lineRule="auto"/>
        <w:ind w:left="2621" w:leftChars="444" w:hanging="1689" w:hangingChars="528"/>
        <w:jc w:val="left"/>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常州市体育局2022年国民体质监测一体机采购项目（二次）</w:t>
      </w:r>
      <w:r>
        <w:rPr>
          <w:rFonts w:hint="eastAsia" w:ascii="宋体" w:hAnsi="宋体" w:eastAsia="宋体" w:cs="宋体"/>
          <w:bCs/>
          <w:color w:val="auto"/>
          <w:sz w:val="32"/>
          <w:szCs w:val="32"/>
          <w:highlight w:val="none"/>
        </w:rPr>
        <w:tab/>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ind w:left="2621" w:leftChars="444" w:hanging="1689" w:hangingChars="528"/>
        <w:jc w:val="left"/>
        <w:textAlignment w:val="auto"/>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 xml:space="preserve">常信采竞磋2022010  </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ind w:left="2621" w:leftChars="444" w:hanging="1689" w:hangingChars="528"/>
        <w:jc w:val="left"/>
        <w:textAlignment w:val="auto"/>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eastAsia="宋体" w:cs="宋体"/>
          <w:bCs/>
          <w:color w:val="auto"/>
          <w:sz w:val="32"/>
          <w:szCs w:val="32"/>
          <w:highlight w:val="none"/>
          <w:lang w:eastAsia="zh-CN"/>
        </w:rPr>
        <w:t>常州市体育局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ind w:left="2621" w:leftChars="444" w:hanging="1689" w:hangingChars="528"/>
        <w:jc w:val="left"/>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color w:val="auto"/>
          <w:sz w:val="32"/>
          <w:szCs w:val="32"/>
          <w:highlight w:val="none"/>
          <w:lang w:eastAsia="zh-CN"/>
        </w:rPr>
        <w:t>江苏常信招标代理有限公司</w:t>
      </w:r>
      <w:r>
        <w:rPr>
          <w:rFonts w:hint="eastAsia" w:ascii="宋体" w:hAnsi="宋体" w:eastAsia="宋体" w:cs="宋体"/>
          <w:bCs/>
          <w:color w:val="auto"/>
          <w:sz w:val="36"/>
          <w:szCs w:val="36"/>
          <w:highlight w:val="none"/>
        </w:rPr>
        <w:t xml:space="preserve"> </w:t>
      </w:r>
    </w:p>
    <w:p>
      <w:pPr>
        <w:widowControl/>
        <w:jc w:val="left"/>
        <w:rPr>
          <w:rFonts w:hint="eastAsia" w:ascii="宋体" w:hAnsi="宋体" w:eastAsia="宋体" w:cs="宋体"/>
          <w:b/>
          <w:bCs/>
          <w:color w:val="auto"/>
          <w:sz w:val="44"/>
          <w:highlight w:val="none"/>
        </w:rPr>
      </w:pPr>
    </w:p>
    <w:p>
      <w:pPr>
        <w:widowControl/>
        <w:jc w:val="left"/>
        <w:rPr>
          <w:rFonts w:hint="eastAsia" w:ascii="宋体" w:hAnsi="宋体" w:eastAsia="宋体" w:cs="宋体"/>
          <w:b/>
          <w:bCs/>
          <w:color w:val="auto"/>
          <w:sz w:val="44"/>
          <w:highlight w:val="none"/>
        </w:rPr>
      </w:pPr>
    </w:p>
    <w:p>
      <w:pPr>
        <w:widowControl/>
        <w:jc w:val="left"/>
        <w:rPr>
          <w:rFonts w:hint="eastAsia" w:ascii="宋体" w:hAnsi="宋体" w:eastAsia="宋体" w:cs="宋体"/>
          <w:color w:val="auto"/>
          <w:kern w:val="0"/>
          <w:sz w:val="24"/>
          <w:highlight w:val="none"/>
        </w:rPr>
      </w:pPr>
      <w:r>
        <w:rPr>
          <w:rFonts w:hint="eastAsia" w:ascii="宋体" w:hAnsi="宋体" w:eastAsia="宋体" w:cs="宋体"/>
          <w:b/>
          <w:bCs/>
          <w:color w:val="auto"/>
          <w:sz w:val="44"/>
          <w:highlight w:val="none"/>
        </w:rPr>
        <w:br w:type="page"/>
      </w:r>
    </w:p>
    <w:p>
      <w:pPr>
        <w:pStyle w:val="2"/>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44"/>
          <w:szCs w:val="44"/>
          <w:highlight w:val="none"/>
        </w:rPr>
      </w:pPr>
      <w:bookmarkStart w:id="0" w:name="_Toc104818924"/>
      <w:r>
        <w:rPr>
          <w:rFonts w:hint="eastAsia" w:ascii="宋体" w:hAnsi="宋体" w:eastAsia="宋体" w:cs="宋体"/>
          <w:b/>
          <w:color w:val="auto"/>
          <w:sz w:val="44"/>
          <w:szCs w:val="44"/>
          <w:highlight w:val="none"/>
        </w:rPr>
        <w:t>目      录</w:t>
      </w:r>
      <w:bookmarkEnd w:id="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2"/>
        <w:spacing w:line="600" w:lineRule="auto"/>
        <w:ind w:firstLine="280" w:firstLineChars="100"/>
        <w:rPr>
          <w:rFonts w:hint="eastAsia" w:ascii="宋体" w:hAnsi="宋体" w:eastAsia="宋体" w:cs="宋体"/>
          <w:b w:val="0"/>
          <w:color w:val="auto"/>
          <w:sz w:val="28"/>
          <w:szCs w:val="28"/>
          <w:highlight w:val="none"/>
          <w:lang/>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p>
    <w:p>
      <w:pPr>
        <w:pStyle w:val="32"/>
        <w:spacing w:line="600" w:lineRule="auto"/>
        <w:rPr>
          <w:rFonts w:hint="eastAsia" w:ascii="宋体" w:hAnsi="宋体" w:eastAsia="宋体" w:cs="宋体"/>
          <w:b w:val="0"/>
          <w:color w:val="auto"/>
          <w:sz w:val="28"/>
          <w:szCs w:val="28"/>
          <w:highlight w:val="none"/>
          <w:lang/>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"_Toc104818925"</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第一章   采购邀请</w:t>
      </w:r>
      <w:r>
        <w:rPr>
          <w:rStyle w:val="52"/>
          <w:rFonts w:hint="eastAsia" w:ascii="宋体" w:hAnsi="宋体" w:eastAsia="宋体" w:cs="宋体"/>
          <w:color w:val="auto"/>
          <w:sz w:val="28"/>
          <w:szCs w:val="28"/>
          <w:highlight w:val="none"/>
          <w:lang/>
        </w:rPr>
        <w:fldChar w:fldCharType="end"/>
      </w:r>
    </w:p>
    <w:p>
      <w:pPr>
        <w:pStyle w:val="32"/>
        <w:spacing w:line="600" w:lineRule="auto"/>
        <w:rPr>
          <w:rFonts w:hint="eastAsia" w:ascii="宋体" w:hAnsi="宋体" w:eastAsia="宋体" w:cs="宋体"/>
          <w:b w:val="0"/>
          <w:color w:val="auto"/>
          <w:sz w:val="28"/>
          <w:szCs w:val="28"/>
          <w:highlight w:val="none"/>
          <w:lang/>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"_Toc104818926"</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第二章   供应商须知</w:t>
      </w:r>
      <w:r>
        <w:rPr>
          <w:rStyle w:val="52"/>
          <w:rFonts w:hint="eastAsia" w:ascii="宋体" w:hAnsi="宋体" w:eastAsia="宋体" w:cs="宋体"/>
          <w:color w:val="auto"/>
          <w:sz w:val="28"/>
          <w:szCs w:val="28"/>
          <w:highlight w:val="none"/>
          <w:lang/>
        </w:rPr>
        <w:fldChar w:fldCharType="end"/>
      </w:r>
    </w:p>
    <w:p>
      <w:pPr>
        <w:pStyle w:val="32"/>
        <w:spacing w:line="600" w:lineRule="auto"/>
        <w:rPr>
          <w:rFonts w:hint="eastAsia" w:ascii="宋体" w:hAnsi="宋体" w:eastAsia="宋体" w:cs="宋体"/>
          <w:b w:val="0"/>
          <w:color w:val="auto"/>
          <w:sz w:val="28"/>
          <w:szCs w:val="28"/>
          <w:highlight w:val="none"/>
          <w:lang w:val="en-US" w:eastAsia="zh-CN"/>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"_Toc104818927"</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第三章   评审程序、评审方法和评审标准</w:t>
      </w:r>
      <w:r>
        <w:rPr>
          <w:rStyle w:val="52"/>
          <w:rFonts w:hint="eastAsia" w:ascii="宋体" w:hAnsi="宋体" w:eastAsia="宋体" w:cs="宋体"/>
          <w:color w:val="auto"/>
          <w:sz w:val="28"/>
          <w:szCs w:val="28"/>
          <w:highlight w:val="none"/>
          <w:lang/>
        </w:rPr>
        <w:fldChar w:fldCharType="end"/>
      </w:r>
    </w:p>
    <w:p>
      <w:pPr>
        <w:pStyle w:val="32"/>
        <w:spacing w:line="600" w:lineRule="auto"/>
        <w:rPr>
          <w:rFonts w:hint="eastAsia" w:ascii="宋体" w:hAnsi="宋体" w:eastAsia="宋体" w:cs="宋体"/>
          <w:b w:val="0"/>
          <w:color w:val="auto"/>
          <w:sz w:val="28"/>
          <w:szCs w:val="28"/>
          <w:highlight w:val="none"/>
          <w:lang w:val="en-US" w:eastAsia="zh-CN"/>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"_Toc104818928"</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第四章   采购需求</w:t>
      </w:r>
      <w:r>
        <w:rPr>
          <w:rStyle w:val="52"/>
          <w:rFonts w:hint="eastAsia" w:ascii="宋体" w:hAnsi="宋体" w:eastAsia="宋体" w:cs="宋体"/>
          <w:color w:val="auto"/>
          <w:sz w:val="28"/>
          <w:szCs w:val="28"/>
          <w:highlight w:val="none"/>
          <w:lang/>
        </w:rPr>
        <w:fldChar w:fldCharType="end"/>
      </w:r>
    </w:p>
    <w:p>
      <w:pPr>
        <w:pStyle w:val="32"/>
        <w:spacing w:line="600" w:lineRule="auto"/>
        <w:rPr>
          <w:rFonts w:hint="eastAsia" w:ascii="宋体" w:hAnsi="宋体" w:eastAsia="宋体" w:cs="宋体"/>
          <w:b w:val="0"/>
          <w:color w:val="auto"/>
          <w:sz w:val="28"/>
          <w:szCs w:val="28"/>
          <w:highlight w:val="none"/>
          <w:lang/>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"_Toc104818929"</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第五章   合同草案条款</w:t>
      </w:r>
      <w:r>
        <w:rPr>
          <w:rStyle w:val="52"/>
          <w:rFonts w:hint="eastAsia" w:ascii="宋体" w:hAnsi="宋体" w:eastAsia="宋体" w:cs="宋体"/>
          <w:color w:val="auto"/>
          <w:sz w:val="28"/>
          <w:szCs w:val="28"/>
          <w:highlight w:val="none"/>
          <w:lang/>
        </w:rPr>
        <w:fldChar w:fldCharType="end"/>
      </w:r>
    </w:p>
    <w:p>
      <w:pPr>
        <w:pStyle w:val="32"/>
        <w:spacing w:line="600" w:lineRule="auto"/>
        <w:rPr>
          <w:rFonts w:hint="default" w:ascii="宋体" w:hAnsi="宋体" w:eastAsia="宋体" w:cs="宋体"/>
          <w:b w:val="0"/>
          <w:color w:val="auto"/>
          <w:sz w:val="28"/>
          <w:szCs w:val="28"/>
          <w:highlight w:val="none"/>
          <w:lang w:val="en-US" w:eastAsia="zh-CN"/>
        </w:rPr>
      </w:pPr>
      <w:r>
        <w:rPr>
          <w:rStyle w:val="52"/>
          <w:rFonts w:hint="eastAsia" w:ascii="宋体" w:hAnsi="宋体" w:eastAsia="宋体" w:cs="宋体"/>
          <w:color w:val="auto"/>
          <w:sz w:val="28"/>
          <w:szCs w:val="28"/>
          <w:highlight w:val="none"/>
          <w:lang/>
        </w:rPr>
        <w:fldChar w:fldCharType="begin"/>
      </w:r>
      <w:r>
        <w:rPr>
          <w:rStyle w:val="52"/>
          <w:rFonts w:hint="eastAsia" w:ascii="宋体" w:hAnsi="宋体" w:eastAsia="宋体" w:cs="宋体"/>
          <w:color w:val="auto"/>
          <w:sz w:val="28"/>
          <w:szCs w:val="28"/>
          <w:highlight w:val="none"/>
          <w:lang/>
        </w:rPr>
        <w:instrText xml:space="preserve"> </w:instrText>
      </w:r>
      <w:r>
        <w:rPr>
          <w:rFonts w:hint="eastAsia" w:ascii="宋体" w:hAnsi="宋体" w:eastAsia="宋体" w:cs="宋体"/>
          <w:color w:val="auto"/>
          <w:sz w:val="28"/>
          <w:szCs w:val="28"/>
          <w:highlight w:val="none"/>
          <w:lang/>
        </w:rPr>
        <w:instrText xml:space="preserve">HYPERLINK \l "_Toc104818930"</w:instrText>
      </w:r>
      <w:r>
        <w:rPr>
          <w:rStyle w:val="52"/>
          <w:rFonts w:hint="eastAsia" w:ascii="宋体" w:hAnsi="宋体" w:eastAsia="宋体" w:cs="宋体"/>
          <w:color w:val="auto"/>
          <w:sz w:val="28"/>
          <w:szCs w:val="28"/>
          <w:highlight w:val="none"/>
          <w:lang/>
        </w:rPr>
        <w:instrText xml:space="preserve"> </w:instrText>
      </w:r>
      <w:r>
        <w:rPr>
          <w:rStyle w:val="52"/>
          <w:rFonts w:hint="eastAsia" w:ascii="宋体" w:hAnsi="宋体" w:eastAsia="宋体" w:cs="宋体"/>
          <w:color w:val="auto"/>
          <w:sz w:val="28"/>
          <w:szCs w:val="28"/>
          <w:highlight w:val="none"/>
          <w:lang/>
        </w:rPr>
        <w:fldChar w:fldCharType="separate"/>
      </w:r>
      <w:r>
        <w:rPr>
          <w:rStyle w:val="52"/>
          <w:rFonts w:hint="eastAsia" w:ascii="宋体" w:hAnsi="宋体" w:eastAsia="宋体" w:cs="宋体"/>
          <w:color w:val="auto"/>
          <w:sz w:val="28"/>
          <w:szCs w:val="28"/>
          <w:highlight w:val="none"/>
          <w:lang/>
        </w:rPr>
        <w:t>第六章   响应文件格式</w:t>
      </w:r>
      <w:r>
        <w:rPr>
          <w:rStyle w:val="52"/>
          <w:rFonts w:hint="eastAsia" w:ascii="宋体" w:hAnsi="宋体" w:eastAsia="宋体" w:cs="宋体"/>
          <w:color w:val="auto"/>
          <w:sz w:val="28"/>
          <w:szCs w:val="28"/>
          <w:highlight w:val="none"/>
          <w:lang/>
        </w:rPr>
        <w:fldChar w:fldCharType="end"/>
      </w:r>
    </w:p>
    <w:p>
      <w:pPr>
        <w:pStyle w:val="32"/>
        <w:spacing w:line="600" w:lineRule="auto"/>
        <w:rPr>
          <w:rFonts w:hint="eastAsia" w:ascii="宋体" w:hAnsi="宋体" w:eastAsia="宋体" w:cs="宋体"/>
          <w:b w:val="0"/>
          <w:color w:val="auto"/>
          <w:highlight w:val="none"/>
        </w:rPr>
      </w:pPr>
      <w:r>
        <w:rPr>
          <w:rFonts w:hint="eastAsia" w:ascii="宋体" w:hAnsi="宋体" w:eastAsia="宋体" w:cs="宋体"/>
          <w:b w:val="0"/>
          <w:color w:val="auto"/>
          <w:sz w:val="28"/>
          <w:szCs w:val="28"/>
          <w:highlight w:val="none"/>
        </w:rPr>
        <w:fldChar w:fldCharType="end"/>
      </w:r>
    </w:p>
    <w:p>
      <w:pPr>
        <w:pStyle w:val="32"/>
        <w:spacing w:line="360" w:lineRule="auto"/>
        <w:rPr>
          <w:rFonts w:hint="eastAsia" w:ascii="宋体" w:hAnsi="宋体" w:eastAsia="宋体" w:cs="宋体"/>
          <w:b w:val="0"/>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p>
    <w:p>
      <w:pPr>
        <w:spacing w:line="360" w:lineRule="auto"/>
        <w:jc w:val="center"/>
        <w:outlineLvl w:val="0"/>
        <w:rPr>
          <w:rFonts w:hint="eastAsia" w:ascii="宋体" w:hAnsi="宋体" w:eastAsia="宋体" w:cs="宋体"/>
          <w:color w:val="auto"/>
          <w:sz w:val="32"/>
          <w:szCs w:val="32"/>
          <w:highlight w:val="none"/>
        </w:rPr>
      </w:pPr>
      <w:bookmarkStart w:id="1" w:name="_Toc104818925"/>
      <w:r>
        <w:rPr>
          <w:rFonts w:hint="eastAsia" w:ascii="宋体" w:hAnsi="宋体" w:eastAsia="宋体" w:cs="宋体"/>
          <w:b/>
          <w:color w:val="auto"/>
          <w:sz w:val="32"/>
          <w:szCs w:val="32"/>
          <w:highlight w:val="none"/>
        </w:rPr>
        <w:t>第一章   采购邀请</w:t>
      </w:r>
      <w:bookmarkEnd w:id="1"/>
      <w:bookmarkStart w:id="2" w:name="_Toc28359079"/>
      <w:bookmarkStart w:id="3" w:name="_Toc35393790"/>
      <w:bookmarkStart w:id="4" w:name="_Toc35393621"/>
      <w:bookmarkStart w:id="5" w:name="_Toc28359002"/>
      <w:bookmarkStart w:id="6" w:name="_Hlk24379207"/>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bookmarkEnd w:id="2"/>
      <w:bookmarkEnd w:id="3"/>
      <w:bookmarkEnd w:id="4"/>
      <w:bookmarkEnd w:id="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u w:val="single"/>
          <w:lang w:eastAsia="zh-CN"/>
        </w:rPr>
        <w:t xml:space="preserve">常信采竞磋2022010 </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u w:val="single"/>
          <w:lang w:eastAsia="zh-CN"/>
        </w:rPr>
        <w:t>常州市体育局2022年国民体质监测一体机采购项目（二次）</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bookmarkEnd w:id="6"/>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4.项目预算金额：</w:t>
      </w:r>
      <w:r>
        <w:rPr>
          <w:rFonts w:hint="eastAsia" w:ascii="宋体" w:hAnsi="宋体" w:eastAsia="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lang w:eastAsia="zh-CN"/>
        </w:rPr>
        <w:t>民币贰拾伍万元整（¥</w:t>
      </w:r>
      <w:r>
        <w:rPr>
          <w:rFonts w:hint="eastAsia" w:ascii="宋体" w:hAnsi="宋体" w:eastAsia="宋体" w:cs="宋体"/>
          <w:b/>
          <w:bCs/>
          <w:color w:val="auto"/>
          <w:sz w:val="21"/>
          <w:szCs w:val="21"/>
          <w:highlight w:val="none"/>
          <w:lang w:val="en-US" w:eastAsia="zh-CN"/>
        </w:rPr>
        <w:t>250000.00</w:t>
      </w:r>
      <w:r>
        <w:rPr>
          <w:rFonts w:hint="eastAsia" w:ascii="宋体" w:hAnsi="宋体" w:eastAsia="宋体" w:cs="宋体"/>
          <w:b/>
          <w:bCs/>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项目最高限价：</w:t>
      </w:r>
      <w:r>
        <w:rPr>
          <w:rFonts w:hint="eastAsia" w:ascii="宋体" w:hAnsi="宋体" w:eastAsia="宋体" w:cs="宋体"/>
          <w:b/>
          <w:bCs/>
          <w:color w:val="auto"/>
          <w:sz w:val="21"/>
          <w:szCs w:val="21"/>
          <w:highlight w:val="none"/>
          <w:lang w:eastAsia="zh-CN"/>
        </w:rPr>
        <w:t>人民币贰拾伍万元整（¥</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0000.00</w:t>
      </w:r>
      <w:r>
        <w:rPr>
          <w:rFonts w:hint="eastAsia" w:ascii="宋体" w:hAnsi="宋体" w:eastAsia="宋体" w:cs="宋体"/>
          <w:b/>
          <w:bCs/>
          <w:color w:val="auto"/>
          <w:sz w:val="21"/>
          <w:szCs w:val="21"/>
          <w:highlight w:val="none"/>
          <w:lang w:eastAsia="zh-CN"/>
        </w:rPr>
        <w:t>）</w:t>
      </w:r>
    </w:p>
    <w:p>
      <w:pPr>
        <w:pageBreakBefore w:val="0"/>
        <w:widowControl/>
        <w:kinsoku/>
        <w:wordWrap/>
        <w:overflowPunct/>
        <w:topLinePunct w:val="0"/>
        <w:bidi w:val="0"/>
        <w:spacing w:line="360" w:lineRule="auto"/>
        <w:ind w:firstLine="420" w:firstLineChars="200"/>
        <w:textAlignment w:val="auto"/>
        <w:rPr>
          <w:rFonts w:hint="eastAsia"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.采购需求：</w:t>
      </w:r>
      <w:r>
        <w:rPr>
          <w:rFonts w:hint="eastAsia" w:ascii="宋体" w:hAnsi="宋体" w:cs="宋体"/>
          <w:szCs w:val="21"/>
        </w:rPr>
        <w:t>本项目是</w:t>
      </w:r>
      <w:r>
        <w:rPr>
          <w:rFonts w:hint="eastAsia" w:ascii="宋体" w:hAnsi="宋体" w:cs="宋体"/>
          <w:szCs w:val="21"/>
          <w:lang w:eastAsia="zh-CN"/>
        </w:rPr>
        <w:t>常州市体育局2022年国民体质监测一体机采购项目（二次）</w:t>
      </w:r>
      <w:r>
        <w:rPr>
          <w:rFonts w:hint="eastAsia" w:ascii="宋体" w:hAnsi="宋体" w:cs="宋体"/>
          <w:szCs w:val="21"/>
        </w:rPr>
        <w:t>。</w:t>
      </w:r>
    </w:p>
    <w:p>
      <w:pPr>
        <w:pageBreakBefore w:val="0"/>
        <w:widowControl/>
        <w:kinsoku/>
        <w:wordWrap/>
        <w:overflowPunct/>
        <w:topLinePunct w:val="0"/>
        <w:bidi w:val="0"/>
        <w:spacing w:line="360" w:lineRule="auto"/>
        <w:ind w:firstLine="420" w:firstLineChars="200"/>
        <w:textAlignment w:val="auto"/>
        <w:rPr>
          <w:rFonts w:hint="eastAsia" w:ascii="宋体" w:hAnsi="宋体" w:cs="宋体"/>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.供货期限：</w:t>
      </w:r>
      <w:r>
        <w:rPr>
          <w:rFonts w:hint="eastAsia" w:ascii="宋体" w:hAnsi="宋体" w:cs="宋体"/>
          <w:szCs w:val="21"/>
        </w:rPr>
        <w:t>自合同签订之日起7日内，成交人提供所有货物至采购人处。</w:t>
      </w:r>
    </w:p>
    <w:p>
      <w:pPr>
        <w:pageBreakBefore w:val="0"/>
        <w:widowControl/>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.质保期：</w:t>
      </w:r>
      <w:r>
        <w:rPr>
          <w:rFonts w:hint="eastAsia" w:ascii="宋体" w:hAnsi="宋体" w:cs="仿宋"/>
          <w:color w:val="000000"/>
          <w:szCs w:val="21"/>
        </w:rPr>
        <w:t>免费质保2年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.本项目是否接受联合体：□是  ■否。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7" w:name="_Toc28359003"/>
      <w:bookmarkStart w:id="8" w:name="_Toc35393622"/>
      <w:bookmarkStart w:id="9" w:name="_Toc28359080"/>
      <w:bookmarkStart w:id="10" w:name="_Toc35393791"/>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.本项目是否接受进口产品响应：□是  ■否。</w:t>
      </w:r>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二、申请人的资格要求（须同时满足）</w:t>
      </w:r>
      <w:bookmarkEnd w:id="7"/>
      <w:bookmarkEnd w:id="8"/>
      <w:bookmarkEnd w:id="9"/>
      <w:bookmarkEnd w:id="1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1" w:name="_Toc28359004"/>
      <w:bookmarkStart w:id="12" w:name="_Toc28359081"/>
      <w:r>
        <w:rPr>
          <w:rFonts w:hint="eastAsia" w:ascii="宋体" w:hAnsi="宋体" w:eastAsia="宋体" w:cs="宋体"/>
          <w:color w:val="auto"/>
          <w:sz w:val="21"/>
          <w:szCs w:val="21"/>
          <w:highlight w:val="none"/>
        </w:rPr>
        <w:t>1.满足《中华人民共和国政府采购法》第二十二条规定以及下列情形：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1.1未被“信用中国”网站（WWW.creditchina.gov.cn）或“中国政府采购网”网站（www.ccgp.gov.cn）列入失信被执行人、重大税收违法案件当事人名单、政府采购严重失信行为记录名单；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中小企业政策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□本项目不专门面向中小企业预留采购份额。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■本项目专门面向  ■中小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小微企业  采购。即：提供的货物全部由符合政策要求的中小/小微企业制造、服务全部由符合政策要求的中小/小微企业承接。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其它落实政府采购政策的资格要求</w:t>
      </w:r>
      <w:r>
        <w:rPr>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3.1本项目是否接受分支机构参与响应：□是   ■否</w:t>
      </w:r>
      <w:r>
        <w:rPr>
          <w:rFonts w:hint="eastAsia" w:ascii="宋体" w:hAnsi="宋体" w:eastAsia="宋体" w:cs="宋体"/>
          <w:color w:val="auto"/>
          <w:sz w:val="21"/>
          <w:szCs w:val="21"/>
          <w:highlight w:val="none"/>
          <w:lang w:eastAsia="zh-CN"/>
        </w:rPr>
        <w:t>。</w:t>
      </w:r>
    </w:p>
    <w:p>
      <w:pPr>
        <w:pageBreakBefore w:val="0"/>
        <w:tabs>
          <w:tab w:val="left" w:pos="900"/>
          <w:tab w:val="left" w:pos="1134"/>
          <w:tab w:val="left" w:pos="1589"/>
          <w:tab w:val="left" w:pos="5521"/>
        </w:tabs>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否</w:t>
      </w:r>
    </w:p>
    <w:p>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是，公益一类事业单位、使用事业编制且由财政拨款保障的群团组织，不得作为承接主体</w:t>
      </w:r>
      <w:r>
        <w:rPr>
          <w:rFonts w:hint="eastAsia" w:ascii="宋体" w:hAnsi="宋体" w:eastAsia="宋体" w:cs="宋体"/>
          <w:color w:val="auto"/>
          <w:sz w:val="21"/>
          <w:szCs w:val="21"/>
          <w:highlight w:val="none"/>
          <w:lang w:eastAsia="zh-CN"/>
        </w:rPr>
        <w:t>。</w:t>
      </w:r>
    </w:p>
    <w:p>
      <w:pPr>
        <w:keepNext w:val="0"/>
        <w:keepLines w:val="0"/>
        <w:pageBreakBefore w:val="0"/>
        <w:tabs>
          <w:tab w:val="left" w:pos="900"/>
          <w:tab w:val="left" w:pos="1134"/>
          <w:tab w:val="left" w:pos="1589"/>
          <w:tab w:val="left" w:pos="5521"/>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3其他特定资格要求：</w:t>
      </w:r>
      <w:r>
        <w:rPr>
          <w:rFonts w:hint="eastAsia" w:ascii="宋体" w:hAnsi="宋体" w:eastAsia="宋体" w:cs="宋体"/>
          <w:color w:val="auto"/>
          <w:sz w:val="21"/>
          <w:szCs w:val="21"/>
          <w:highlight w:val="none"/>
          <w:lang w:val="en-US" w:eastAsia="zh-CN"/>
        </w:rPr>
        <w:t>无</w:t>
      </w:r>
    </w:p>
    <w:bookmarkEnd w:id="11"/>
    <w:bookmarkEnd w:id="12"/>
    <w:p>
      <w:pPr>
        <w:pStyle w:val="4"/>
        <w:pageBreakBefore w:val="0"/>
        <w:widowControl/>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bookmarkStart w:id="13" w:name="_Toc35393792"/>
      <w:bookmarkStart w:id="14" w:name="_Toc35393623"/>
      <w:r>
        <w:rPr>
          <w:rFonts w:hint="eastAsia" w:ascii="宋体" w:hAnsi="宋体" w:eastAsia="宋体" w:cs="宋体"/>
          <w:color w:val="auto"/>
          <w:sz w:val="21"/>
          <w:szCs w:val="21"/>
          <w:highlight w:val="none"/>
        </w:rPr>
        <w:t>三、获取采购文件</w:t>
      </w:r>
      <w:bookmarkEnd w:id="13"/>
      <w:bookmarkEnd w:id="14"/>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bidi="ar"/>
        </w:rPr>
      </w:pPr>
      <w:bookmarkStart w:id="15" w:name="_Toc28359007"/>
      <w:bookmarkStart w:id="16" w:name="_Toc35393625"/>
      <w:bookmarkStart w:id="17" w:name="_Toc28359084"/>
      <w:bookmarkStart w:id="18" w:name="_Toc35393794"/>
      <w:r>
        <w:rPr>
          <w:rFonts w:hint="eastAsia" w:ascii="宋体" w:hAnsi="宋体" w:eastAsia="宋体" w:cs="宋体"/>
          <w:color w:val="auto"/>
          <w:sz w:val="21"/>
          <w:szCs w:val="21"/>
          <w:highlight w:val="none"/>
          <w:lang w:bidi="ar"/>
        </w:rPr>
        <w:t>1.时间：</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11</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11</w:t>
      </w:r>
      <w:r>
        <w:rPr>
          <w:rFonts w:hint="eastAsia" w:ascii="宋体" w:hAnsi="宋体" w:eastAsia="宋体" w:cs="宋体"/>
          <w:color w:val="auto"/>
          <w:sz w:val="21"/>
          <w:szCs w:val="21"/>
          <w:highlight w:val="none"/>
          <w:lang w:bidi="ar"/>
        </w:rPr>
        <w:t>日至</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rPr>
        <w:t>18</w:t>
      </w:r>
      <w:r>
        <w:rPr>
          <w:rFonts w:hint="eastAsia" w:ascii="宋体" w:hAnsi="宋体" w:eastAsia="宋体" w:cs="宋体"/>
          <w:color w:val="auto"/>
          <w:sz w:val="21"/>
          <w:szCs w:val="21"/>
          <w:highlight w:val="none"/>
          <w:lang w:bidi="ar"/>
        </w:rPr>
        <w:t>日，每天上午</w:t>
      </w:r>
      <w:r>
        <w:rPr>
          <w:rFonts w:hint="eastAsia" w:ascii="宋体" w:hAnsi="宋体" w:eastAsia="宋体" w:cs="宋体"/>
          <w:color w:val="auto"/>
          <w:sz w:val="21"/>
          <w:szCs w:val="21"/>
          <w:highlight w:val="none"/>
          <w:u w:val="single"/>
          <w:lang w:val="en-US" w:eastAsia="zh-CN"/>
        </w:rPr>
        <w:t>9:00</w:t>
      </w:r>
      <w:r>
        <w:rPr>
          <w:rFonts w:hint="eastAsia" w:ascii="宋体" w:hAnsi="宋体" w:eastAsia="宋体" w:cs="宋体"/>
          <w:color w:val="auto"/>
          <w:sz w:val="21"/>
          <w:szCs w:val="21"/>
          <w:highlight w:val="none"/>
          <w:lang w:bidi="ar"/>
        </w:rPr>
        <w:t>至</w:t>
      </w:r>
      <w:r>
        <w:rPr>
          <w:rFonts w:hint="eastAsia" w:ascii="宋体" w:hAnsi="宋体" w:eastAsia="宋体" w:cs="宋体"/>
          <w:color w:val="auto"/>
          <w:sz w:val="21"/>
          <w:szCs w:val="21"/>
          <w:highlight w:val="none"/>
          <w:u w:val="single"/>
          <w:lang w:val="en-US" w:eastAsia="zh-CN"/>
        </w:rPr>
        <w:t>11:30</w:t>
      </w:r>
      <w:r>
        <w:rPr>
          <w:rFonts w:hint="eastAsia" w:ascii="宋体" w:hAnsi="宋体" w:eastAsia="宋体" w:cs="宋体"/>
          <w:color w:val="auto"/>
          <w:sz w:val="21"/>
          <w:szCs w:val="21"/>
          <w:highlight w:val="none"/>
          <w:lang w:bidi="ar"/>
        </w:rPr>
        <w:t>，下午</w:t>
      </w:r>
      <w:r>
        <w:rPr>
          <w:rFonts w:hint="eastAsia" w:ascii="宋体" w:hAnsi="宋体" w:eastAsia="宋体" w:cs="宋体"/>
          <w:color w:val="auto"/>
          <w:sz w:val="21"/>
          <w:szCs w:val="21"/>
          <w:highlight w:val="none"/>
          <w:u w:val="single"/>
          <w:lang w:val="en-US" w:eastAsia="zh-CN"/>
        </w:rPr>
        <w:t>13:30</w:t>
      </w:r>
      <w:r>
        <w:rPr>
          <w:rFonts w:hint="eastAsia" w:ascii="宋体" w:hAnsi="宋体" w:eastAsia="宋体" w:cs="宋体"/>
          <w:color w:val="auto"/>
          <w:sz w:val="21"/>
          <w:szCs w:val="21"/>
          <w:highlight w:val="none"/>
          <w:lang w:bidi="ar"/>
        </w:rPr>
        <w:t>至</w:t>
      </w:r>
      <w:r>
        <w:rPr>
          <w:rFonts w:hint="eastAsia" w:ascii="宋体" w:hAnsi="宋体" w:eastAsia="宋体" w:cs="宋体"/>
          <w:color w:val="auto"/>
          <w:sz w:val="21"/>
          <w:szCs w:val="21"/>
          <w:highlight w:val="none"/>
          <w:u w:val="single"/>
          <w:lang w:val="en-US" w:eastAsia="zh-CN"/>
        </w:rPr>
        <w:t>17:00</w:t>
      </w:r>
      <w:r>
        <w:rPr>
          <w:rFonts w:hint="eastAsia" w:ascii="宋体" w:hAnsi="宋体" w:eastAsia="宋体" w:cs="宋体"/>
          <w:color w:val="auto"/>
          <w:sz w:val="21"/>
          <w:szCs w:val="21"/>
          <w:highlight w:val="none"/>
          <w:lang w:bidi="ar"/>
        </w:rPr>
        <w:t>（北京时间，法定节假日除外）。</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2.地点：</w:t>
      </w:r>
      <w:r>
        <w:rPr>
          <w:rFonts w:hint="eastAsia" w:ascii="宋体" w:hAnsi="宋体" w:eastAsia="宋体" w:cs="宋体"/>
          <w:color w:val="auto"/>
          <w:sz w:val="21"/>
          <w:szCs w:val="21"/>
          <w:highlight w:val="none"/>
          <w:lang w:eastAsia="zh-CN" w:bidi="ar"/>
        </w:rPr>
        <w:t>江苏常信招标代理有限公司</w:t>
      </w:r>
      <w:r>
        <w:rPr>
          <w:rFonts w:hint="eastAsia" w:ascii="宋体" w:hAnsi="宋体" w:cs="宋体"/>
          <w:szCs w:val="21"/>
        </w:rPr>
        <w:t>［</w:t>
      </w:r>
      <w:r>
        <w:rPr>
          <w:rFonts w:hint="eastAsia" w:ascii="宋体" w:hAnsi="宋体" w:cs="宋体"/>
          <w:szCs w:val="21"/>
          <w:lang w:eastAsia="zh-CN"/>
        </w:rPr>
        <w:t>常州市新北区汉江西路118号1号楼3楼</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3.方式：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)现场：江苏常信招标代理有限公司开标室（江苏省常州市新北区汉江西路118号1号楼三楼）。</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售价：人民币500元/份（人民币）,磋商文件售后一概不退。报名时须提供以下材料：</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（1）报名申请表一份（格式请至我公司官网办事指南自行下载）（盖公章）；</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（2）法人代表或授权委托人第二代居民身份证原件及复印件；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（3）营业执照（复印件加盖公章）；</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资料齐全、符合要求的由代理机构发放招标文件。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4.售价：人民币伍佰元整</w:t>
      </w:r>
    </w:p>
    <w:p>
      <w:pPr>
        <w:pStyle w:val="4"/>
        <w:pageBreakBefore w:val="0"/>
        <w:widowControl/>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bookmarkStart w:id="19" w:name="_Toc35393793"/>
      <w:bookmarkStart w:id="20" w:name="_Toc28359082"/>
      <w:bookmarkStart w:id="21" w:name="_Toc35393624"/>
      <w:bookmarkStart w:id="22" w:name="_Toc28359005"/>
      <w:r>
        <w:rPr>
          <w:rFonts w:hint="eastAsia" w:ascii="宋体" w:hAnsi="宋体" w:eastAsia="宋体" w:cs="宋体"/>
          <w:color w:val="auto"/>
          <w:sz w:val="21"/>
          <w:szCs w:val="21"/>
          <w:highlight w:val="none"/>
        </w:rPr>
        <w:t>四、</w:t>
      </w:r>
      <w:bookmarkEnd w:id="19"/>
      <w:bookmarkEnd w:id="20"/>
      <w:bookmarkEnd w:id="21"/>
      <w:bookmarkEnd w:id="22"/>
      <w:r>
        <w:rPr>
          <w:rFonts w:hint="eastAsia" w:ascii="宋体" w:hAnsi="宋体" w:eastAsia="宋体" w:cs="宋体"/>
          <w:color w:val="auto"/>
          <w:sz w:val="21"/>
          <w:szCs w:val="21"/>
          <w:highlight w:val="none"/>
        </w:rPr>
        <w:t>响应文件提交</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bidi="ar"/>
        </w:rPr>
        <w:t>截止时间：</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25</w:t>
      </w:r>
      <w:r>
        <w:rPr>
          <w:rFonts w:hint="eastAsia" w:ascii="宋体" w:hAnsi="宋体" w:eastAsia="宋体" w:cs="宋体"/>
          <w:color w:val="auto"/>
          <w:sz w:val="21"/>
          <w:szCs w:val="21"/>
          <w:highlight w:val="none"/>
          <w:u w:val="none"/>
          <w:lang w:val="en-US" w:eastAsia="zh-CN" w:bidi="ar"/>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bidi="ar"/>
        </w:rPr>
        <w:t>分</w:t>
      </w:r>
      <w:r>
        <w:rPr>
          <w:rFonts w:hint="eastAsia" w:ascii="宋体" w:hAnsi="宋体" w:eastAsia="宋体" w:cs="宋体"/>
          <w:bCs/>
          <w:color w:val="auto"/>
          <w:sz w:val="21"/>
          <w:szCs w:val="21"/>
          <w:highlight w:val="none"/>
          <w:lang w:bidi="ar"/>
        </w:rPr>
        <w:t>（北京时间）</w:t>
      </w:r>
      <w:r>
        <w:rPr>
          <w:rFonts w:hint="eastAsia" w:ascii="宋体" w:hAnsi="宋体" w:eastAsia="宋体" w:cs="宋体"/>
          <w:iCs/>
          <w:color w:val="auto"/>
          <w:sz w:val="21"/>
          <w:szCs w:val="21"/>
          <w:highlight w:val="none"/>
          <w:lang w:bidi="ar"/>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single"/>
          <w:lang w:val="zh-TW" w:bidi="ar"/>
        </w:rPr>
      </w:pPr>
      <w:r>
        <w:rPr>
          <w:rFonts w:hint="eastAsia" w:ascii="宋体" w:hAnsi="宋体" w:eastAsia="宋体" w:cs="宋体"/>
          <w:color w:val="auto"/>
          <w:sz w:val="21"/>
          <w:szCs w:val="21"/>
          <w:highlight w:val="none"/>
          <w:lang w:bidi="ar"/>
        </w:rPr>
        <w:t>地点：</w:t>
      </w:r>
      <w:r>
        <w:rPr>
          <w:rFonts w:hint="eastAsia" w:ascii="宋体" w:hAnsi="宋体" w:eastAsia="宋体" w:cs="宋体"/>
          <w:szCs w:val="21"/>
          <w:lang w:eastAsia="zh-CN"/>
        </w:rPr>
        <w:t>江苏常信招标代理有限公司</w:t>
      </w:r>
      <w:r>
        <w:rPr>
          <w:rFonts w:hint="eastAsia" w:ascii="宋体" w:hAnsi="宋体" w:cs="宋体"/>
          <w:szCs w:val="21"/>
        </w:rPr>
        <w:t>开标室［</w:t>
      </w:r>
      <w:r>
        <w:rPr>
          <w:rFonts w:hint="eastAsia" w:ascii="宋体" w:hAnsi="宋体" w:cs="宋体"/>
          <w:szCs w:val="21"/>
          <w:lang w:eastAsia="zh-CN"/>
        </w:rPr>
        <w:t>常州市新北区汉江西路118号1号楼3楼</w:t>
      </w:r>
      <w:r>
        <w:rPr>
          <w:rFonts w:hint="eastAsia" w:ascii="宋体" w:hAnsi="宋体" w:cs="宋体"/>
          <w:szCs w:val="21"/>
        </w:rPr>
        <w:t>］</w:t>
      </w:r>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bidi="ar"/>
        </w:rPr>
        <w:t>时间：</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25</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bidi="ar"/>
        </w:rPr>
        <w:t>分</w:t>
      </w:r>
      <w:r>
        <w:rPr>
          <w:rFonts w:hint="eastAsia" w:ascii="宋体" w:hAnsi="宋体" w:eastAsia="宋体" w:cs="宋体"/>
          <w:bCs/>
          <w:color w:val="auto"/>
          <w:sz w:val="21"/>
          <w:szCs w:val="21"/>
          <w:highlight w:val="none"/>
          <w:lang w:bidi="ar"/>
        </w:rPr>
        <w:t>（北京时间）</w:t>
      </w:r>
      <w:r>
        <w:rPr>
          <w:rFonts w:hint="eastAsia" w:ascii="宋体" w:hAnsi="宋体" w:eastAsia="宋体" w:cs="宋体"/>
          <w:iCs/>
          <w:color w:val="auto"/>
          <w:sz w:val="21"/>
          <w:szCs w:val="21"/>
          <w:highlight w:val="none"/>
          <w:lang w:bidi="ar"/>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地点：</w:t>
      </w:r>
      <w:r>
        <w:rPr>
          <w:rFonts w:hint="eastAsia" w:ascii="宋体" w:hAnsi="宋体" w:eastAsia="宋体" w:cs="宋体"/>
          <w:szCs w:val="21"/>
          <w:lang w:eastAsia="zh-CN"/>
        </w:rPr>
        <w:t>江苏常信招标代理有限公司</w:t>
      </w:r>
      <w:r>
        <w:rPr>
          <w:rFonts w:hint="eastAsia" w:ascii="宋体" w:hAnsi="宋体" w:cs="宋体"/>
          <w:szCs w:val="21"/>
        </w:rPr>
        <w:t>开标室［</w:t>
      </w:r>
      <w:r>
        <w:rPr>
          <w:rFonts w:hint="eastAsia" w:ascii="宋体" w:hAnsi="宋体" w:cs="宋体"/>
          <w:szCs w:val="21"/>
          <w:lang w:eastAsia="zh-CN"/>
        </w:rPr>
        <w:t>常州市新北区汉江西路118号1号楼3楼</w:t>
      </w:r>
      <w:r>
        <w:rPr>
          <w:rFonts w:hint="eastAsia" w:ascii="宋体" w:hAnsi="宋体" w:cs="宋体"/>
          <w:szCs w:val="21"/>
        </w:rPr>
        <w:t>］</w:t>
      </w:r>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bookmarkEnd w:id="15"/>
      <w:bookmarkEnd w:id="16"/>
      <w:bookmarkEnd w:id="17"/>
      <w:bookmarkEnd w:id="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bookmarkStart w:id="23" w:name="_Toc35393626"/>
      <w:bookmarkStart w:id="24" w:name="_Toc35393795"/>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bookmarkEnd w:id="23"/>
      <w:bookmarkEnd w:id="24"/>
    </w:p>
    <w:p>
      <w:pPr>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highlight w:val="none"/>
          <w:u w:val="single"/>
          <w:lang w:bidi="ar"/>
        </w:rPr>
      </w:pPr>
      <w:r>
        <w:rPr>
          <w:rFonts w:hint="eastAsia" w:ascii="宋体" w:hAnsi="宋体" w:eastAsia="宋体" w:cs="宋体"/>
          <w:b w:val="0"/>
          <w:bCs w:val="0"/>
          <w:color w:val="auto"/>
          <w:sz w:val="21"/>
          <w:szCs w:val="21"/>
          <w:highlight w:val="none"/>
        </w:rPr>
        <w:t>1.本项目需要落实的政府采购政策：</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bidi="ar"/>
        </w:rPr>
        <w:t xml:space="preserve">/  </w:t>
      </w:r>
      <w:r>
        <w:rPr>
          <w:rFonts w:hint="eastAsia" w:ascii="宋体" w:hAnsi="宋体" w:eastAsia="宋体" w:cs="宋体"/>
          <w:b/>
          <w:bCs/>
          <w:color w:val="auto"/>
          <w:sz w:val="21"/>
          <w:szCs w:val="21"/>
          <w:highlight w:val="none"/>
          <w:u w:val="none"/>
          <w:lang w:bidi="ar"/>
        </w:rPr>
        <w:t>；</w:t>
      </w:r>
    </w:p>
    <w:p>
      <w:pPr>
        <w:pageBreakBefore w:val="0"/>
        <w:kinsoku/>
        <w:wordWrap/>
        <w:overflowPunct/>
        <w:topLinePunct w:val="0"/>
        <w:bidi w:val="0"/>
        <w:spacing w:line="360" w:lineRule="auto"/>
        <w:ind w:firstLine="420" w:firstLineChars="200"/>
        <w:textAlignment w:val="auto"/>
        <w:rPr>
          <w:rFonts w:hint="eastAsia"/>
          <w:color w:val="auto"/>
          <w:sz w:val="21"/>
          <w:szCs w:val="21"/>
          <w:highlight w:val="none"/>
        </w:rPr>
      </w:pPr>
      <w:r>
        <w:rPr>
          <w:rFonts w:hint="eastAsia" w:ascii="宋体" w:hAnsi="宋体" w:eastAsia="宋体" w:cs="宋体"/>
          <w:b w:val="0"/>
          <w:bCs w:val="0"/>
          <w:color w:val="auto"/>
          <w:sz w:val="21"/>
          <w:szCs w:val="21"/>
          <w:highlight w:val="none"/>
          <w:u w:val="none"/>
          <w:lang w:val="en-US" w:eastAsia="zh-CN" w:bidi="ar"/>
        </w:rPr>
        <w:t>2.</w:t>
      </w:r>
      <w:r>
        <w:rPr>
          <w:rFonts w:hint="eastAsia" w:ascii="宋体" w:hAnsi="宋体" w:eastAsia="宋体" w:cs="宋体"/>
          <w:b w:val="0"/>
          <w:bCs w:val="0"/>
          <w:color w:val="auto"/>
          <w:sz w:val="21"/>
          <w:szCs w:val="21"/>
          <w:highlight w:val="none"/>
          <w:u w:val="none"/>
          <w:lang w:bidi="ar"/>
        </w:rPr>
        <w:t>本项目不收取磋商保证金。</w:t>
      </w:r>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.磋商文件售后一概不退。供应商递交的响应文件概不退还。一经领购</w:t>
      </w:r>
      <w:r>
        <w:rPr>
          <w:rFonts w:hint="eastAsia" w:ascii="宋体" w:hAnsi="宋体" w:eastAsia="宋体" w:cs="宋体"/>
          <w:b/>
          <w:bCs/>
          <w:color w:val="auto"/>
          <w:sz w:val="21"/>
          <w:szCs w:val="21"/>
          <w:highlight w:val="none"/>
          <w:lang w:val="en-US" w:eastAsia="zh-CN"/>
        </w:rPr>
        <w:t>供应商名称</w:t>
      </w:r>
      <w:r>
        <w:rPr>
          <w:rFonts w:hint="eastAsia" w:ascii="宋体" w:hAnsi="宋体" w:eastAsia="宋体" w:cs="宋体"/>
          <w:b/>
          <w:bCs/>
          <w:color w:val="auto"/>
          <w:sz w:val="21"/>
          <w:szCs w:val="21"/>
          <w:highlight w:val="none"/>
        </w:rPr>
        <w:t>不接受修改。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.本项目资格后审。</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.公告发布媒体：常州市政府采购网、</w:t>
      </w:r>
      <w:r>
        <w:rPr>
          <w:rFonts w:hint="eastAsia" w:ascii="宋体" w:hAnsi="宋体" w:eastAsia="宋体" w:cs="宋体"/>
          <w:b w:val="0"/>
          <w:bCs w:val="0"/>
          <w:color w:val="auto"/>
          <w:sz w:val="21"/>
          <w:szCs w:val="21"/>
          <w:highlight w:val="none"/>
          <w:lang w:eastAsia="zh-CN"/>
        </w:rPr>
        <w:t>江苏常信招标代理有限公司</w:t>
      </w:r>
      <w:r>
        <w:rPr>
          <w:rFonts w:hint="eastAsia" w:ascii="宋体" w:hAnsi="宋体" w:eastAsia="宋体" w:cs="宋体"/>
          <w:b w:val="0"/>
          <w:bCs w:val="0"/>
          <w:color w:val="auto"/>
          <w:sz w:val="21"/>
          <w:szCs w:val="21"/>
          <w:highlight w:val="none"/>
        </w:rPr>
        <w:t>网站</w:t>
      </w:r>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zh-TW" w:bidi="ar"/>
        </w:rPr>
      </w:pPr>
      <w:r>
        <w:rPr>
          <w:rFonts w:hint="eastAsia" w:ascii="宋体" w:hAnsi="宋体" w:eastAsia="宋体" w:cs="宋体"/>
          <w:b/>
          <w:bCs/>
          <w:color w:val="auto"/>
          <w:sz w:val="21"/>
          <w:szCs w:val="21"/>
          <w:highlight w:val="none"/>
          <w:lang w:val="en-US" w:eastAsia="zh-CN" w:bidi="ar"/>
        </w:rPr>
        <w:t>6</w:t>
      </w:r>
      <w:r>
        <w:rPr>
          <w:rFonts w:hint="eastAsia" w:ascii="宋体" w:hAnsi="宋体" w:eastAsia="宋体" w:cs="宋体"/>
          <w:b/>
          <w:bCs/>
          <w:color w:val="auto"/>
          <w:sz w:val="21"/>
          <w:szCs w:val="21"/>
          <w:highlight w:val="none"/>
          <w:lang w:val="zh-TW" w:bidi="ar"/>
        </w:rPr>
        <w:t>.关于常州市中小企业政府采购信用融资：</w:t>
      </w:r>
    </w:p>
    <w:p>
      <w:pPr>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bidi="ar"/>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bookmarkStart w:id="25" w:name="_Toc28359085"/>
      <w:bookmarkStart w:id="26" w:name="_Toc35393796"/>
      <w:bookmarkStart w:id="27" w:name="_Toc35393627"/>
      <w:bookmarkStart w:id="28" w:name="_Toc28359008"/>
    </w:p>
    <w:p>
      <w:pPr>
        <w:pStyle w:val="4"/>
        <w:pageBreakBefore w:val="0"/>
        <w:kinsoku/>
        <w:wordWrap/>
        <w:overflowPunct/>
        <w:topLinePunct w:val="0"/>
        <w:bidi w:val="0"/>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八、对本项目提出询问，请按以下方式联系。</w:t>
      </w:r>
      <w:bookmarkEnd w:id="25"/>
      <w:bookmarkEnd w:id="26"/>
      <w:bookmarkEnd w:id="27"/>
      <w:bookmarkEnd w:id="28"/>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bookmarkStart w:id="29" w:name="_Toc35393806"/>
      <w:bookmarkStart w:id="30" w:name="_Toc28359096"/>
      <w:bookmarkStart w:id="31" w:name="_Toc35393637"/>
      <w:bookmarkStart w:id="32" w:name="_Toc28359019"/>
      <w:r>
        <w:rPr>
          <w:rFonts w:hint="eastAsia" w:ascii="宋体" w:hAnsi="宋体" w:cs="宋体"/>
          <w:szCs w:val="21"/>
        </w:rPr>
        <w:t>1.采购人信息</w:t>
      </w:r>
      <w:bookmarkEnd w:id="29"/>
      <w:bookmarkEnd w:id="30"/>
      <w:bookmarkEnd w:id="31"/>
      <w:bookmarkEnd w:id="32"/>
    </w:p>
    <w:p>
      <w:pPr>
        <w:pStyle w:val="252"/>
        <w:pageBreakBefore w:val="0"/>
        <w:kinsoku/>
        <w:wordWrap/>
        <w:overflowPunct/>
        <w:topLinePunct w:val="0"/>
        <w:bidi w:val="0"/>
        <w:spacing w:line="36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 xml:space="preserve">名    称： </w:t>
      </w:r>
      <w:r>
        <w:rPr>
          <w:rFonts w:hint="eastAsia" w:ascii="宋体" w:hAnsi="宋体" w:cs="宋体"/>
          <w:szCs w:val="21"/>
          <w:lang w:eastAsia="zh-CN"/>
        </w:rPr>
        <w:t>常州市体育局</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r>
        <w:rPr>
          <w:rFonts w:hint="eastAsia" w:ascii="宋体" w:hAnsi="宋体" w:cs="宋体"/>
          <w:szCs w:val="21"/>
        </w:rPr>
        <w:t>地</w:t>
      </w:r>
      <w:r>
        <w:rPr>
          <w:rFonts w:hint="eastAsia" w:ascii="宋体" w:hAnsi="宋体" w:cs="宋体"/>
          <w:szCs w:val="21"/>
          <w:lang w:val="en-US" w:eastAsia="zh-CN"/>
        </w:rPr>
        <w:t xml:space="preserve">    </w:t>
      </w:r>
      <w:r>
        <w:rPr>
          <w:rFonts w:hint="eastAsia" w:ascii="宋体" w:hAnsi="宋体" w:cs="宋体"/>
          <w:szCs w:val="21"/>
        </w:rPr>
        <w:t>址:常州市龙城大道1280号1-A-1016</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color w:val="0000FF"/>
          <w:szCs w:val="21"/>
        </w:rPr>
      </w:pPr>
      <w:r>
        <w:rPr>
          <w:rFonts w:hint="eastAsia" w:ascii="宋体" w:hAnsi="宋体" w:cs="宋体"/>
          <w:szCs w:val="21"/>
        </w:rPr>
        <w:t>联系方式:0519-85683016  　　</w:t>
      </w:r>
      <w:r>
        <w:rPr>
          <w:rFonts w:hint="eastAsia" w:ascii="宋体" w:hAnsi="宋体" w:cs="宋体"/>
          <w:color w:val="0000FF"/>
          <w:szCs w:val="21"/>
        </w:rPr>
        <w:t xml:space="preserve">　　　　　　 　　　 </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bookmarkStart w:id="33" w:name="_Toc35393638"/>
      <w:bookmarkStart w:id="34" w:name="_Toc28359020"/>
      <w:bookmarkStart w:id="35" w:name="_Toc28359097"/>
      <w:bookmarkStart w:id="36" w:name="_Toc35393807"/>
      <w:r>
        <w:rPr>
          <w:rFonts w:hint="eastAsia" w:ascii="宋体" w:hAnsi="宋体" w:cs="宋体"/>
          <w:szCs w:val="21"/>
        </w:rPr>
        <w:t>2.采购代理机构信息</w:t>
      </w:r>
      <w:bookmarkEnd w:id="33"/>
      <w:bookmarkEnd w:id="34"/>
      <w:bookmarkEnd w:id="35"/>
      <w:bookmarkEnd w:id="36"/>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江苏常信招标代理有限公司</w:t>
      </w:r>
      <w:r>
        <w:rPr>
          <w:rFonts w:hint="eastAsia" w:ascii="宋体" w:hAnsi="宋体" w:cs="宋体"/>
          <w:szCs w:val="21"/>
        </w:rPr>
        <w:t xml:space="preserve">                          　　　　　　　　　　　　</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r>
        <w:rPr>
          <w:rFonts w:hint="eastAsia" w:ascii="宋体" w:hAnsi="宋体" w:cs="宋体"/>
          <w:szCs w:val="21"/>
        </w:rPr>
        <w:t>地　　址：</w:t>
      </w:r>
      <w:r>
        <w:rPr>
          <w:rFonts w:hint="eastAsia" w:ascii="宋体" w:hAnsi="宋体" w:cs="宋体"/>
          <w:szCs w:val="21"/>
          <w:lang w:eastAsia="zh-CN"/>
        </w:rPr>
        <w:t>常州市新北区汉江西路118号1号楼3楼</w:t>
      </w:r>
      <w:r>
        <w:rPr>
          <w:rFonts w:hint="eastAsia" w:ascii="宋体" w:hAnsi="宋体" w:cs="宋体"/>
          <w:szCs w:val="21"/>
        </w:rPr>
        <w:t>　　　　　　　　　　</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r>
        <w:rPr>
          <w:rFonts w:hint="eastAsia" w:ascii="宋体" w:hAnsi="宋体" w:cs="宋体"/>
          <w:szCs w:val="21"/>
        </w:rPr>
        <w:t>联系方式：0519-68979196                                         　　　　　　　　　　　　</w:t>
      </w:r>
    </w:p>
    <w:p>
      <w:pPr>
        <w:pStyle w:val="252"/>
        <w:pageBreakBefore w:val="0"/>
        <w:kinsoku/>
        <w:wordWrap/>
        <w:overflowPunct/>
        <w:topLinePunct w:val="0"/>
        <w:bidi w:val="0"/>
        <w:spacing w:line="360" w:lineRule="auto"/>
        <w:ind w:firstLine="420" w:firstLineChars="200"/>
        <w:textAlignment w:val="auto"/>
        <w:rPr>
          <w:rFonts w:hint="eastAsia" w:ascii="宋体" w:hAnsi="宋体" w:cs="宋体"/>
          <w:szCs w:val="21"/>
        </w:rPr>
      </w:pPr>
      <w:bookmarkStart w:id="37" w:name="_Toc35393808"/>
      <w:bookmarkStart w:id="38" w:name="_Toc28359021"/>
      <w:bookmarkStart w:id="39" w:name="_Toc28359098"/>
      <w:bookmarkStart w:id="40" w:name="_Toc35393639"/>
      <w:r>
        <w:rPr>
          <w:rFonts w:hint="eastAsia" w:ascii="宋体" w:hAnsi="宋体" w:cs="宋体"/>
          <w:szCs w:val="21"/>
        </w:rPr>
        <w:t>3.项目联系方式</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项目联系人：周瑜潇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      话：0519-68979195 </w:t>
      </w:r>
    </w:p>
    <w:p>
      <w:pPr>
        <w:pStyle w:val="42"/>
        <w:rPr>
          <w:rFonts w:hint="eastAsia" w:ascii="宋体" w:hAnsi="宋体" w:eastAsia="宋体" w:cs="宋体"/>
          <w:color w:val="auto"/>
          <w:sz w:val="22"/>
          <w:szCs w:val="22"/>
          <w:highlight w:val="none"/>
        </w:rPr>
      </w:pPr>
    </w:p>
    <w:p>
      <w:pPr>
        <w:pStyle w:val="42"/>
        <w:rPr>
          <w:rFonts w:hint="eastAsia" w:ascii="宋体" w:hAnsi="宋体" w:eastAsia="宋体" w:cs="宋体"/>
          <w:b/>
          <w:bCs/>
          <w:color w:val="auto"/>
          <w:sz w:val="22"/>
          <w:szCs w:val="22"/>
          <w:highlight w:val="none"/>
        </w:rPr>
      </w:pPr>
      <w:r>
        <w:rPr>
          <w:rFonts w:hint="eastAsia"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上述个人信息由于工作需要经机构或本人同意对外公布。</w:t>
      </w:r>
    </w:p>
    <w:p>
      <w:pPr>
        <w:spacing w:line="360" w:lineRule="auto"/>
        <w:jc w:val="center"/>
        <w:outlineLvl w:val="0"/>
        <w:rPr>
          <w:rFonts w:hint="eastAsia" w:ascii="宋体" w:hAnsi="宋体" w:eastAsia="宋体" w:cs="宋体"/>
          <w:b/>
          <w:color w:val="auto"/>
          <w:sz w:val="36"/>
          <w:szCs w:val="36"/>
          <w:highlight w:val="none"/>
        </w:rPr>
      </w:pPr>
      <w:bookmarkStart w:id="41" w:name="_Toc353873938"/>
      <w:bookmarkStart w:id="42" w:name="_Toc265228423"/>
      <w:bookmarkStart w:id="43" w:name="_Toc127161488"/>
      <w:bookmarkStart w:id="44" w:name="_Toc195842950"/>
      <w:bookmarkStart w:id="45" w:name="_Toc353825548"/>
      <w:bookmarkStart w:id="46" w:name="_Toc305158928"/>
      <w:bookmarkStart w:id="47" w:name="_Toc512937850"/>
      <w:bookmarkStart w:id="48" w:name="_Toc305158854"/>
      <w:bookmarkStart w:id="49" w:name="_Toc226965856"/>
      <w:bookmarkStart w:id="50" w:name="_Toc150774783"/>
      <w:bookmarkStart w:id="51" w:name="_Toc104818926"/>
      <w:bookmarkStart w:id="52" w:name="_Toc264969275"/>
      <w:bookmarkStart w:id="53" w:name="_Toc127151777"/>
    </w:p>
    <w:p>
      <w:pPr>
        <w:spacing w:line="360" w:lineRule="auto"/>
        <w:jc w:val="center"/>
        <w:outlineLvl w:val="0"/>
        <w:rPr>
          <w:rFonts w:hint="eastAsia" w:ascii="宋体" w:hAnsi="宋体" w:eastAsia="宋体" w:cs="宋体"/>
          <w:b/>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pPr>
    </w:p>
    <w:p>
      <w:pPr>
        <w:pStyle w:val="82"/>
        <w:rPr>
          <w:rFonts w:hint="eastAsia"/>
          <w:color w:val="auto"/>
          <w:highlight w:val="none"/>
        </w:rPr>
      </w:pPr>
    </w:p>
    <w:p>
      <w:pPr>
        <w:pStyle w:val="82"/>
        <w:ind w:left="0" w:leftChars="0" w:firstLine="0" w:firstLineChars="0"/>
        <w:rPr>
          <w:rFonts w:hint="eastAsia"/>
          <w:color w:val="auto"/>
          <w:highlight w:val="none"/>
        </w:rPr>
      </w:pPr>
    </w:p>
    <w:p>
      <w:pPr>
        <w:rPr>
          <w:rFonts w:hint="eastAsia" w:ascii="宋体" w:hAnsi="宋体" w:eastAsia="宋体" w:cs="宋体"/>
          <w:b/>
          <w:color w:val="auto"/>
          <w:sz w:val="36"/>
          <w:szCs w:val="36"/>
          <w:highlight w:val="none"/>
        </w:rPr>
      </w:pPr>
    </w:p>
    <w:p>
      <w:pPr>
        <w:pStyle w:val="82"/>
        <w:rPr>
          <w:rFonts w:hint="eastAsia"/>
          <w:color w:val="auto"/>
          <w:highlight w:val="none"/>
        </w:rPr>
      </w:pPr>
    </w:p>
    <w:p>
      <w:pPr>
        <w:spacing w:line="360" w:lineRule="auto"/>
        <w:jc w:val="center"/>
        <w:outlineLvl w:val="0"/>
        <w:rPr>
          <w:rFonts w:hint="eastAsia" w:ascii="宋体" w:hAnsi="宋体" w:eastAsia="宋体" w:cs="宋体"/>
          <w:b/>
          <w:color w:val="auto"/>
          <w:sz w:val="32"/>
          <w:szCs w:val="32"/>
          <w:highlight w:val="none"/>
        </w:rPr>
      </w:pPr>
    </w:p>
    <w:p>
      <w:pPr>
        <w:spacing w:line="360" w:lineRule="auto"/>
        <w:jc w:val="center"/>
        <w:outlineLvl w:val="0"/>
        <w:rPr>
          <w:rFonts w:hint="eastAsia" w:ascii="宋体" w:hAnsi="宋体" w:eastAsia="宋体" w:cs="宋体"/>
          <w:b/>
          <w:color w:val="auto"/>
          <w:sz w:val="32"/>
          <w:szCs w:val="32"/>
          <w:highlight w:val="none"/>
        </w:rPr>
      </w:pPr>
    </w:p>
    <w:p>
      <w:pPr>
        <w:spacing w:line="360" w:lineRule="auto"/>
        <w:jc w:val="center"/>
        <w:outlineLvl w:val="0"/>
        <w:rPr>
          <w:rFonts w:hint="eastAsia" w:ascii="宋体" w:hAnsi="宋体" w:eastAsia="宋体" w:cs="宋体"/>
          <w:b/>
          <w:color w:val="auto"/>
          <w:sz w:val="32"/>
          <w:szCs w:val="32"/>
          <w:highlight w:val="none"/>
        </w:rPr>
      </w:pPr>
    </w:p>
    <w:p>
      <w:pPr>
        <w:spacing w:line="360" w:lineRule="auto"/>
        <w:jc w:val="both"/>
        <w:outlineLvl w:val="0"/>
        <w:rPr>
          <w:rFonts w:hint="eastAsia" w:ascii="宋体" w:hAnsi="宋体" w:eastAsia="宋体" w:cs="宋体"/>
          <w:b/>
          <w:color w:val="auto"/>
          <w:sz w:val="32"/>
          <w:szCs w:val="32"/>
          <w:highlight w:val="none"/>
        </w:rPr>
      </w:pPr>
    </w:p>
    <w:p>
      <w:pPr>
        <w:pStyle w:val="42"/>
        <w:rPr>
          <w:rFonts w:hint="eastAsia"/>
        </w:rPr>
      </w:pPr>
    </w:p>
    <w:p>
      <w:pPr>
        <w:pStyle w:val="42"/>
        <w:rPr>
          <w:rFonts w:hint="eastAsia"/>
        </w:rPr>
      </w:pPr>
    </w:p>
    <w:p>
      <w:pPr>
        <w:pStyle w:val="42"/>
        <w:rPr>
          <w:rFonts w:hint="eastAsia"/>
        </w:rPr>
      </w:pPr>
    </w:p>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供应商须知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b w:val="0"/>
          <w:color w:val="auto"/>
          <w:sz w:val="28"/>
          <w:szCs w:val="28"/>
          <w:highlight w:val="none"/>
        </w:rPr>
      </w:pPr>
      <w:bookmarkStart w:id="54" w:name="_Toc149720812"/>
      <w:bookmarkStart w:id="55" w:name="_Toc226337215"/>
      <w:bookmarkStart w:id="56" w:name="_Toc226965709"/>
      <w:bookmarkStart w:id="57" w:name="_Toc151193761"/>
      <w:bookmarkStart w:id="58" w:name="_Toc164229214"/>
      <w:bookmarkStart w:id="59" w:name="_Toc127151720"/>
      <w:bookmarkStart w:id="60" w:name="_Toc150774724"/>
      <w:bookmarkStart w:id="61" w:name="_Toc151193689"/>
      <w:bookmarkStart w:id="62" w:name="_Toc226965792"/>
      <w:bookmarkStart w:id="63" w:name="_Toc164608633"/>
      <w:bookmarkStart w:id="64" w:name="_Toc150509270"/>
      <w:bookmarkStart w:id="65" w:name="_Toc226309763"/>
      <w:bookmarkStart w:id="66" w:name="_Toc151190146"/>
      <w:bookmarkStart w:id="67" w:name="_Toc520356144"/>
      <w:bookmarkStart w:id="68" w:name="_Toc164608788"/>
      <w:bookmarkStart w:id="69" w:name="_Toc164229360"/>
      <w:bookmarkStart w:id="70" w:name="_Toc150774619"/>
      <w:bookmarkStart w:id="71" w:name="_Toc150480757"/>
      <w:bookmarkStart w:id="72" w:name="_Toc151193907"/>
      <w:bookmarkStart w:id="73" w:name="_Toc127161433"/>
      <w:bookmarkStart w:id="74" w:name="_Toc127151519"/>
      <w:bookmarkStart w:id="75" w:name="_Toc142311021"/>
      <w:bookmarkStart w:id="76" w:name="_Toc164351613"/>
      <w:bookmarkStart w:id="77" w:name="_Toc151193833"/>
      <w:bookmarkStart w:id="78" w:name="_Toc195842884"/>
      <w:bookmarkStart w:id="79" w:name="_Toc151193617"/>
      <w:r>
        <w:rPr>
          <w:rFonts w:hint="eastAsia" w:ascii="宋体" w:hAnsi="宋体" w:eastAsia="宋体" w:cs="宋体"/>
          <w:color w:val="auto"/>
          <w:sz w:val="28"/>
          <w:szCs w:val="28"/>
          <w:highlight w:val="none"/>
        </w:rPr>
        <w:t>供应商须知资料表</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本表是对供应商须知的具体补充和修改，如有矛盾，均以本资料表为准。</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标记“</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”的选项意为适用于本项目，标记“□”的选项意为不适用于本项目。</w:t>
      </w:r>
    </w:p>
    <w:tbl>
      <w:tblPr>
        <w:tblStyle w:val="44"/>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条款号</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条目</w:t>
            </w:r>
          </w:p>
        </w:tc>
        <w:tc>
          <w:tcPr>
            <w:tcW w:w="7305" w:type="dxa"/>
            <w:noWrap w:val="0"/>
            <w:vAlign w:val="center"/>
          </w:tcPr>
          <w:p>
            <w:pPr>
              <w:keepNext w:val="0"/>
              <w:keepLines w:val="0"/>
              <w:pageBreakBefore w:val="0"/>
              <w:widowControl w:val="0"/>
              <w:kinsoku/>
              <w:wordWrap/>
              <w:overflowPunct/>
              <w:topLinePunct w:val="0"/>
              <w:autoSpaceDE/>
              <w:autoSpaceDN/>
              <w:bidi w:val="0"/>
              <w:adjustRightInd/>
              <w:snapToGrid/>
              <w:spacing w:before="164" w:beforeLines="35" w:after="164" w:afterLines="35"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w:t>
            </w:r>
          </w:p>
        </w:tc>
        <w:tc>
          <w:tcPr>
            <w:tcW w:w="7305" w:type="dxa"/>
            <w:noWrap w:val="0"/>
            <w:vAlign w:val="center"/>
          </w:tcPr>
          <w:p>
            <w:pPr>
              <w:keepNext w:val="0"/>
              <w:keepLines w:val="0"/>
              <w:pageBreakBefore w:val="0"/>
              <w:widowControl w:val="0"/>
              <w:kinsoku/>
              <w:wordWrap/>
              <w:overflowPunct/>
              <w:topLinePunct w:val="0"/>
              <w:autoSpaceDE/>
              <w:autoSpaceDN/>
              <w:bidi w:val="0"/>
              <w:adjustRightInd/>
              <w:snapToGrid/>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w:t>
            </w:r>
          </w:p>
          <w:p>
            <w:pPr>
              <w:keepNext w:val="0"/>
              <w:keepLines w:val="0"/>
              <w:pageBreakBefore w:val="0"/>
              <w:widowControl w:val="0"/>
              <w:kinsoku/>
              <w:wordWrap/>
              <w:overflowPunct/>
              <w:topLinePunct w:val="0"/>
              <w:autoSpaceDE/>
              <w:autoSpaceDN/>
              <w:bidi w:val="0"/>
              <w:adjustRightInd/>
              <w:snapToGrid/>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货物</w:t>
            </w:r>
          </w:p>
          <w:p>
            <w:pPr>
              <w:keepNext w:val="0"/>
              <w:keepLines w:val="0"/>
              <w:pageBreakBefore w:val="0"/>
              <w:widowControl w:val="0"/>
              <w:kinsoku/>
              <w:wordWrap/>
              <w:overflowPunct/>
              <w:topLinePunct w:val="0"/>
              <w:autoSpaceDE/>
              <w:autoSpaceDN/>
              <w:bidi w:val="0"/>
              <w:adjustRightInd/>
              <w:snapToGrid/>
              <w:spacing w:before="164" w:beforeLines="35" w:after="164" w:afterLines="35" w:line="24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科研仪器设备</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是否属于科研仪器设备采购项目：</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不组织</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组织，考察时间：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分</w:t>
            </w:r>
          </w:p>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考察地点：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磋商前答疑会</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不召开</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本项目采购标的对应的中小企业划分标准所属行业：</w:t>
            </w:r>
            <w:r>
              <w:rPr>
                <w:rFonts w:hint="eastAsia" w:ascii="宋体" w:hAnsi="宋体" w:eastAsia="宋体" w:cs="宋体"/>
                <w:b/>
                <w:bCs/>
                <w:color w:val="auto"/>
                <w:sz w:val="21"/>
                <w:szCs w:val="21"/>
                <w:highlight w:val="none"/>
                <w:u w:val="single"/>
              </w:rPr>
              <w:t>其他未列明行业</w:t>
            </w:r>
            <w:r>
              <w:rPr>
                <w:rFonts w:hint="eastAsia" w:ascii="宋体" w:hAnsi="宋体" w:eastAsia="宋体" w:cs="宋体"/>
                <w:b/>
                <w:bCs/>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报价的特殊规定：</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无</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有，具体情形：</w:t>
            </w:r>
            <w:r>
              <w:rPr>
                <w:rFonts w:hint="eastAsia" w:ascii="宋体" w:hAnsi="宋体" w:eastAsia="宋体" w:cs="宋体"/>
                <w:b w:val="0"/>
                <w:bCs w:val="0"/>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自提交响应文件的截止之日起算</w:t>
            </w:r>
            <w:r>
              <w:rPr>
                <w:rFonts w:hint="eastAsia" w:ascii="宋体" w:hAnsi="宋体" w:eastAsia="宋体" w:cs="宋体"/>
                <w:b/>
                <w:bCs/>
                <w:color w:val="auto"/>
                <w:sz w:val="21"/>
                <w:szCs w:val="21"/>
                <w:highlight w:val="none"/>
                <w:u w:val="single"/>
                <w:lang w:val="en-US" w:eastAsia="zh-CN"/>
              </w:rPr>
              <w:t>60</w:t>
            </w:r>
            <w:r>
              <w:rPr>
                <w:rFonts w:hint="eastAsia" w:ascii="宋体" w:hAnsi="宋体" w:eastAsia="宋体" w:cs="宋体"/>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hAnsi="宋体" w:eastAsia="宋体" w:cs="宋体"/>
                <w:color w:val="auto"/>
                <w:sz w:val="21"/>
                <w:szCs w:val="21"/>
                <w:highlight w:val="none"/>
                <w:lang w:val="en-US" w:eastAsia="zh-CN"/>
              </w:rPr>
              <w:t>14.1</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响应文件提交</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供应商应提交</w:t>
            </w:r>
            <w:r>
              <w:rPr>
                <w:rFonts w:hint="default" w:ascii="宋体" w:hAnsi="宋体" w:eastAsia="宋体" w:cs="宋体"/>
                <w:b/>
                <w:bCs/>
                <w:color w:val="auto"/>
                <w:sz w:val="21"/>
                <w:szCs w:val="21"/>
                <w:highlight w:val="none"/>
                <w:lang w:val="en-US" w:eastAsia="zh-CN"/>
              </w:rPr>
              <w:t>装订</w:t>
            </w:r>
            <w:r>
              <w:rPr>
                <w:rFonts w:hint="default" w:ascii="宋体" w:hAnsi="宋体" w:eastAsia="宋体" w:cs="宋体"/>
                <w:color w:val="auto"/>
                <w:sz w:val="21"/>
                <w:szCs w:val="21"/>
                <w:highlight w:val="none"/>
                <w:lang w:val="en-US" w:eastAsia="zh-CN"/>
              </w:rPr>
              <w:t>的响应文件</w:t>
            </w:r>
            <w:r>
              <w:rPr>
                <w:rFonts w:hint="default" w:ascii="宋体" w:hAnsi="宋体" w:eastAsia="宋体" w:cs="宋体"/>
                <w:b/>
                <w:bCs/>
                <w:color w:val="auto"/>
                <w:sz w:val="21"/>
                <w:szCs w:val="21"/>
                <w:highlight w:val="none"/>
                <w:lang w:val="en-US" w:eastAsia="zh-CN"/>
              </w:rPr>
              <w:t>壹份“正本”</w:t>
            </w:r>
            <w:r>
              <w:rPr>
                <w:rFonts w:hint="eastAsia" w:ascii="宋体" w:hAnsi="宋体" w:eastAsia="宋体"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贰份“副本”</w:t>
            </w:r>
            <w:r>
              <w:rPr>
                <w:rFonts w:hint="eastAsia" w:ascii="宋体" w:hAnsi="宋体" w:eastAsia="宋体" w:cs="宋体"/>
                <w:b/>
                <w:bCs/>
                <w:color w:val="auto"/>
                <w:sz w:val="21"/>
                <w:szCs w:val="21"/>
                <w:highlight w:val="none"/>
                <w:lang w:val="en-US" w:eastAsia="zh-CN"/>
              </w:rPr>
              <w:t>、壹份“U盘”（电子文件中含全套正本竞标文件，未提供的视为无效竞标，U盘单独密封）</w:t>
            </w:r>
            <w:r>
              <w:rPr>
                <w:rFonts w:hint="default" w:ascii="宋体" w:hAnsi="宋体" w:eastAsia="宋体" w:cs="宋体"/>
                <w:color w:val="auto"/>
                <w:sz w:val="21"/>
                <w:szCs w:val="21"/>
                <w:highlight w:val="none"/>
                <w:lang w:val="en-US" w:eastAsia="zh-CN"/>
              </w:rPr>
              <w:t>。响应文件正本和副本如有不一致之处，以正本为准。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本项目是否允许分包： </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不允许</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允许，具体要求：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（1）可以分包履行的具体内容：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（2）允许分包的金额或者比例：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24.1.1</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w:t>
            </w:r>
          </w:p>
        </w:tc>
        <w:tc>
          <w:tcPr>
            <w:tcW w:w="7305" w:type="dxa"/>
            <w:noWrap w:val="0"/>
            <w:vAlign w:val="center"/>
          </w:tcPr>
          <w:p>
            <w:pPr>
              <w:keepNext w:val="0"/>
              <w:keepLines w:val="0"/>
              <w:pageBreakBefore w:val="0"/>
              <w:widowControl w:val="0"/>
              <w:kinsoku/>
              <w:wordWrap/>
              <w:overflowPunct/>
              <w:topLinePunct w:val="0"/>
              <w:autoSpaceDE/>
              <w:autoSpaceDN/>
              <w:bidi w:val="0"/>
              <w:adjustRightInd/>
              <w:snapToGrid/>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询问送达形式：</w:t>
            </w:r>
            <w:r>
              <w:rPr>
                <w:rFonts w:hint="eastAsia" w:ascii="宋体" w:hAnsi="宋体" w:eastAsia="宋体" w:cs="宋体"/>
                <w:color w:val="auto"/>
                <w:sz w:val="21"/>
                <w:szCs w:val="21"/>
                <w:highlight w:val="none"/>
                <w:u w:val="single"/>
                <w:lang w:val="en-US" w:eastAsia="zh-CN"/>
              </w:rPr>
              <w:t>书面形式递交或邮件至江苏常信招标代理有限公司（注：① 答疑文件须加盖竞标单位公章；② 答疑文件以代理机构收到时间为准；否则代理机构有权拒收其答疑文件）。</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询问时间：</w:t>
            </w:r>
            <w:r>
              <w:rPr>
                <w:rFonts w:hint="eastAsia" w:ascii="宋体" w:hAnsi="宋体" w:eastAsia="宋体" w:cs="宋体"/>
                <w:color w:val="auto"/>
                <w:kern w:val="2"/>
                <w:sz w:val="21"/>
                <w:szCs w:val="21"/>
                <w:highlight w:val="none"/>
                <w:u w:val="single"/>
                <w:lang w:val="en-US" w:eastAsia="zh-CN" w:bidi="ar"/>
              </w:rPr>
              <w:t>2022年11月21日11:30前</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接收询问和质疑的联系方式</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联系部门：</w:t>
            </w:r>
            <w:r>
              <w:rPr>
                <w:rFonts w:hint="eastAsia" w:ascii="宋体" w:hAnsi="宋体" w:eastAsia="宋体" w:cs="宋体"/>
                <w:color w:val="auto"/>
                <w:sz w:val="21"/>
                <w:szCs w:val="21"/>
                <w:highlight w:val="none"/>
                <w:u w:val="single"/>
                <w:lang w:val="en-US" w:eastAsia="zh-CN" w:bidi="ar"/>
              </w:rPr>
              <w:t>江苏常信招标代理有限公司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0519-68979196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lang w:val="en-US" w:eastAsia="zh-CN" w:bidi="ar"/>
              </w:rPr>
              <w:t>常州市新北区汉江西路118号1号楼3楼</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pPr>
              <w:pStyle w:val="24"/>
              <w:keepNext w:val="0"/>
              <w:keepLines w:val="0"/>
              <w:pageBreakBefore w:val="0"/>
              <w:widowControl w:val="0"/>
              <w:kinsoku/>
              <w:wordWrap/>
              <w:overflowPunct/>
              <w:topLinePunct w:val="0"/>
              <w:autoSpaceDE/>
              <w:autoSpaceDN/>
              <w:bidi w:val="0"/>
              <w:adjustRightInd w:val="0"/>
              <w:snapToGrid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01"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tc>
        <w:tc>
          <w:tcPr>
            <w:tcW w:w="7305" w:type="dxa"/>
            <w:noWrap w:val="0"/>
            <w:vAlign w:val="center"/>
          </w:tcPr>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收费对象：</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w:t>
            </w:r>
          </w:p>
          <w:p>
            <w:pPr>
              <w:keepNext w:val="0"/>
              <w:keepLines w:val="0"/>
              <w:pageBreakBefore w:val="0"/>
              <w:widowControl w:val="0"/>
              <w:kinsoku/>
              <w:wordWrap/>
              <w:overflowPunct/>
              <w:topLinePunct w:val="0"/>
              <w:autoSpaceDE/>
              <w:autoSpaceDN/>
              <w:bidi w:val="0"/>
              <w:spacing w:before="164" w:beforeLines="35" w:after="164" w:afterLines="35"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成交供应商</w:t>
            </w:r>
          </w:p>
          <w:p>
            <w:pPr>
              <w:pStyle w:val="2"/>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服务费按照下列标准收取并由成交供应商承担，成交供应商应在领取中标通知书时将中标服务费付至招标代理机构收取投标保证金的帐户。</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871855</wp:posOffset>
                      </wp:positionH>
                      <wp:positionV relativeFrom="paragraph">
                        <wp:posOffset>356235</wp:posOffset>
                      </wp:positionV>
                      <wp:extent cx="19685" cy="1016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65pt;margin-top:28.05pt;height:0.8pt;width:1.55pt;z-index:251659264;mso-width-relative:page;mso-height-relative:page;" filled="f" stroked="t" coordsize="21600,21600" o:gfxdata="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Ruja1gAAAAkBAAAPAAAAAAAAAAEAIAAAACIAAABkcnMvZG93bnJldi54bWxQSwECFAAUAAAACACH&#10;TuJAdfu++u0BAADi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收费标准：</w:t>
            </w:r>
          </w:p>
          <w:tbl>
            <w:tblPr>
              <w:tblStyle w:val="44"/>
              <w:tblpPr w:leftFromText="180" w:rightFromText="180" w:vertAnchor="text" w:horzAnchor="page" w:tblpX="588" w:tblpY="532"/>
              <w:tblOverlap w:val="never"/>
              <w:tblW w:w="6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3680" w:type="dxa"/>
                  <w:noWrap w:val="0"/>
                  <w:vAlign w:val="top"/>
                </w:tcPr>
                <w:p>
                  <w:pPr>
                    <w:adjustRightInd w:val="0"/>
                    <w:snapToGrid w:val="0"/>
                    <w:spacing w:line="324" w:lineRule="auto"/>
                    <w:ind w:firstLine="630" w:firstLineChars="300"/>
                    <w:rPr>
                      <w:rFonts w:hint="eastAsia" w:ascii="宋体" w:hAnsi="宋体" w:cs="宋体"/>
                      <w:bCs/>
                      <w:szCs w:val="21"/>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-64770</wp:posOffset>
                            </wp:positionH>
                            <wp:positionV relativeFrom="paragraph">
                              <wp:posOffset>-6350</wp:posOffset>
                            </wp:positionV>
                            <wp:extent cx="2315210" cy="1345565"/>
                            <wp:effectExtent l="2540" t="4445" r="6350" b="21590"/>
                            <wp:wrapNone/>
                            <wp:docPr id="19" name="组合 6"/>
                            <wp:cNvGraphicFramePr/>
                            <a:graphic xmlns:a="http://schemas.openxmlformats.org/drawingml/2006/main">
                              <a:graphicData uri="http://schemas.microsoft.com/office/word/2010/wordprocessingGroup">
                                <wpg:wgp>
                                  <wpg:cNvGrpSpPr/>
                                  <wpg:grpSpPr>
                                    <a:xfrm>
                                      <a:off x="0" y="0"/>
                                      <a:ext cx="2315210" cy="1345565"/>
                                      <a:chOff x="6838" y="218943"/>
                                      <a:chExt cx="3616" cy="2104"/>
                                    </a:xfrm>
                                    <a:effectLst/>
                                  </wpg:grpSpPr>
                                  <wps:wsp>
                                    <wps:cNvPr id="17" name="直接连接符 17"/>
                                    <wps:cNvCnPr/>
                                    <wps:spPr>
                                      <a:xfrm flipH="1" flipV="1">
                                        <a:off x="6838" y="218943"/>
                                        <a:ext cx="3617" cy="2067"/>
                                      </a:xfrm>
                                      <a:prstGeom prst="line">
                                        <a:avLst/>
                                      </a:prstGeom>
                                      <a:ln w="9525" cap="flat" cmpd="sng">
                                        <a:solidFill>
                                          <a:srgbClr val="000000"/>
                                        </a:solidFill>
                                        <a:prstDash val="solid"/>
                                        <a:headEnd type="none" w="med" len="med"/>
                                        <a:tailEnd type="none" w="med" len="med"/>
                                      </a:ln>
                                      <a:effectLst/>
                                    </wps:spPr>
                                    <wps:bodyPr/>
                                  </wps:wsp>
                                  <wps:wsp>
                                    <wps:cNvPr id="18" name="直接连接符 18"/>
                                    <wps:cNvCnPr/>
                                    <wps:spPr>
                                      <a:xfrm flipH="1" flipV="1">
                                        <a:off x="6838" y="219987"/>
                                        <a:ext cx="3551" cy="1061"/>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组合 6" o:spid="_x0000_s1026" o:spt="203" style="position:absolute;left:0pt;margin-left:-5.1pt;margin-top:-0.5pt;height:105.95pt;width:182.3pt;z-index:251660288;mso-width-relative:page;mso-height-relative:page;" coordorigin="6838,218943" coordsize="3616,2104" o:gfxdata="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6j6Gj2gAAAAoBAAAPAAAAAAAAAAEAIAAAACIA&#10;AABkcnMvZG93bnJldi54bWxQSwECFAAUAAAACACHTuJA6d4Ar7ICAABsBwAADgAAAAAAAAABACAA&#10;AAApAQAAZHJzL2Uyb0RvYy54bWxQSwUGAAAAAAYABgBZAQAATQYAAAAA&#10;">
                            <o:lock v:ext="edit" aspectratio="f"/>
                            <v:line id="_x0000_s1026" o:spid="_x0000_s1026" o:spt="20" style="position:absolute;left:6838;top:218943;flip:x y;height:2067;width:3617;" filled="f" stroked="t" coordsize="21600,21600" o:gfxdata="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w3h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838;top:219987;flip:x y;height:1061;width:3551;" filled="f" stroked="t" coordsize="21600,21600" o:gfxdata="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2vSmC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rFonts w:hint="eastAsia" w:ascii="宋体" w:hAnsi="宋体" w:cs="宋体"/>
                      <w:bCs/>
                      <w:szCs w:val="21"/>
                    </w:rPr>
                    <w:t>服</w:t>
                  </w:r>
                </w:p>
                <w:p>
                  <w:pPr>
                    <w:adjustRightInd w:val="0"/>
                    <w:snapToGrid w:val="0"/>
                    <w:spacing w:line="324" w:lineRule="auto"/>
                    <w:ind w:firstLine="210" w:firstLineChars="100"/>
                    <w:rPr>
                      <w:rFonts w:hint="eastAsia" w:ascii="宋体" w:hAnsi="宋体" w:cs="宋体"/>
                      <w:bCs/>
                      <w:szCs w:val="21"/>
                    </w:rPr>
                  </w:pPr>
                  <w:r>
                    <w:rPr>
                      <w:rFonts w:hint="eastAsia" w:ascii="宋体" w:hAnsi="宋体" w:cs="宋体"/>
                      <w:bCs/>
                      <w:szCs w:val="21"/>
                    </w:rPr>
                    <w:t>费　　　 务</w:t>
                  </w:r>
                </w:p>
                <w:p>
                  <w:pPr>
                    <w:adjustRightInd w:val="0"/>
                    <w:snapToGrid w:val="0"/>
                    <w:spacing w:line="324" w:lineRule="auto"/>
                    <w:ind w:firstLine="1050" w:firstLineChars="500"/>
                    <w:rPr>
                      <w:rFonts w:hint="eastAsia" w:ascii="宋体" w:hAnsi="宋体" w:cs="宋体"/>
                      <w:bCs/>
                      <w:szCs w:val="21"/>
                    </w:rPr>
                  </w:pPr>
                  <w:r>
                    <w:rPr>
                      <w:rFonts w:hint="eastAsia" w:ascii="宋体" w:hAnsi="宋体" w:cs="宋体"/>
                      <w:bCs/>
                      <w:szCs w:val="21"/>
                    </w:rPr>
                    <w:t>　     类</w:t>
                  </w:r>
                </w:p>
                <w:p>
                  <w:pPr>
                    <w:adjustRightInd w:val="0"/>
                    <w:snapToGrid w:val="0"/>
                    <w:spacing w:line="324" w:lineRule="auto"/>
                    <w:ind w:firstLine="1365" w:firstLineChars="650"/>
                    <w:rPr>
                      <w:rFonts w:hint="eastAsia" w:ascii="宋体" w:hAnsi="宋体" w:cs="宋体"/>
                      <w:bCs/>
                      <w:szCs w:val="21"/>
                    </w:rPr>
                  </w:pPr>
                  <w:r>
                    <w:rPr>
                      <w:rFonts w:hint="eastAsia" w:ascii="宋体" w:hAnsi="宋体" w:cs="宋体"/>
                      <w:bCs/>
                      <w:szCs w:val="21"/>
                    </w:rPr>
                    <w:t>率　      型</w:t>
                  </w:r>
                </w:p>
                <w:p>
                  <w:pPr>
                    <w:adjustRightInd w:val="0"/>
                    <w:snapToGrid w:val="0"/>
                    <w:spacing w:line="324" w:lineRule="auto"/>
                    <w:rPr>
                      <w:rFonts w:hint="eastAsia" w:ascii="宋体" w:hAnsi="宋体" w:cs="宋体"/>
                      <w:bCs/>
                      <w:szCs w:val="21"/>
                    </w:rPr>
                  </w:pPr>
                  <w:r>
                    <w:rPr>
                      <w:rFonts w:hint="eastAsia" w:ascii="宋体" w:hAnsi="宋体" w:cs="宋体"/>
                      <w:bCs/>
                      <w:szCs w:val="21"/>
                    </w:rPr>
                    <w:t>成交金额（万元）</w:t>
                  </w:r>
                </w:p>
              </w:tc>
              <w:tc>
                <w:tcPr>
                  <w:tcW w:w="2471" w:type="dxa"/>
                  <w:noWrap w:val="0"/>
                  <w:vAlign w:val="center"/>
                </w:tcPr>
                <w:p>
                  <w:pPr>
                    <w:adjustRightInd w:val="0"/>
                    <w:snapToGrid w:val="0"/>
                    <w:spacing w:line="324" w:lineRule="auto"/>
                    <w:jc w:val="center"/>
                    <w:rPr>
                      <w:rFonts w:hint="eastAsia" w:ascii="宋体" w:hAnsi="宋体" w:cs="宋体"/>
                      <w:bCs/>
                      <w:szCs w:val="21"/>
                    </w:rPr>
                  </w:pPr>
                  <w:r>
                    <w:rPr>
                      <w:rFonts w:hint="eastAsia" w:ascii="宋体" w:hAnsi="宋体" w:cs="宋体"/>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100以下</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100-500</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500-1000</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1000-5000</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5000-10000</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w:t>
                  </w:r>
                </w:p>
              </w:tc>
              <w:tc>
                <w:tcPr>
                  <w:tcW w:w="2471" w:type="dxa"/>
                  <w:noWrap w:val="0"/>
                  <w:vAlign w:val="top"/>
                </w:tcPr>
                <w:p>
                  <w:pPr>
                    <w:adjustRightInd w:val="0"/>
                    <w:snapToGrid w:val="0"/>
                    <w:spacing w:line="324" w:lineRule="auto"/>
                    <w:jc w:val="center"/>
                    <w:rPr>
                      <w:rFonts w:hint="eastAsia" w:ascii="宋体" w:hAnsi="宋体" w:cs="宋体"/>
                      <w:szCs w:val="21"/>
                    </w:rPr>
                  </w:pPr>
                  <w:r>
                    <w:rPr>
                      <w:rFonts w:hint="eastAsia" w:ascii="宋体" w:hAnsi="宋体" w:cs="宋体"/>
                      <w:szCs w:val="21"/>
                    </w:rPr>
                    <w:t>……</w:t>
                  </w:r>
                </w:p>
              </w:tc>
            </w:tr>
          </w:tbl>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1.招标代理服务收费按差额定率累进法计算。</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2.采购代理服务收费按上述计算方法不足人民币 3000 元的，按人民币 3000元收取。</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收款单位：江苏常信招标代理有限公司</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收款银行：江苏江南农村商业银行股份有限公司常州市新桥支行     </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银行账号：11023 000 000 19883</w:t>
            </w:r>
          </w:p>
          <w:p>
            <w:pPr>
              <w:keepNext w:val="0"/>
              <w:keepLines w:val="0"/>
              <w:pageBreakBefore w:val="0"/>
              <w:widowControl w:val="0"/>
              <w:kinsoku/>
              <w:wordWrap/>
              <w:overflowPunct/>
              <w:topLinePunct w:val="0"/>
              <w:autoSpaceDE/>
              <w:autoSpaceDN/>
              <w:bidi w:val="0"/>
              <w:spacing w:before="164" w:beforeLines="35" w:after="164" w:afterLines="35"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缴纳时间：</w:t>
            </w:r>
            <w:r>
              <w:rPr>
                <w:rFonts w:hint="eastAsia" w:ascii="宋体" w:hAnsi="宋体" w:eastAsia="宋体" w:cs="宋体"/>
                <w:color w:val="auto"/>
                <w:sz w:val="21"/>
                <w:szCs w:val="21"/>
                <w:highlight w:val="none"/>
                <w:u w:val="none"/>
              </w:rPr>
              <w:t>领取成交通知书前</w:t>
            </w:r>
          </w:p>
        </w:tc>
      </w:tr>
    </w:tbl>
    <w:p>
      <w:pPr>
        <w:pStyle w:val="82"/>
        <w:ind w:left="0" w:leftChars="0" w:firstLine="0" w:firstLineChars="0"/>
        <w:jc w:val="center"/>
        <w:rPr>
          <w:rFonts w:hint="eastAsia"/>
          <w:b/>
          <w:bCs/>
          <w:color w:val="auto"/>
          <w:sz w:val="28"/>
          <w:szCs w:val="28"/>
          <w:highlight w:val="none"/>
        </w:rPr>
      </w:pPr>
      <w:r>
        <w:rPr>
          <w:rFonts w:hint="eastAsia"/>
          <w:b/>
          <w:bCs/>
          <w:color w:val="auto"/>
          <w:sz w:val="28"/>
          <w:szCs w:val="28"/>
          <w:highlight w:val="none"/>
          <w:lang w:val="en-US" w:eastAsia="zh-CN"/>
        </w:rPr>
        <w:t xml:space="preserve">第二章  </w:t>
      </w:r>
      <w:r>
        <w:rPr>
          <w:rFonts w:hint="eastAsia"/>
          <w:b/>
          <w:bCs/>
          <w:color w:val="auto"/>
          <w:sz w:val="28"/>
          <w:szCs w:val="28"/>
          <w:highlight w:val="none"/>
        </w:rPr>
        <w:t>供应商须知</w:t>
      </w:r>
    </w:p>
    <w:p>
      <w:pPr>
        <w:pStyle w:val="82"/>
        <w:ind w:left="0" w:leftChars="0" w:firstLine="0" w:firstLineChars="0"/>
        <w:jc w:val="center"/>
        <w:rPr>
          <w:rFonts w:hint="eastAsia"/>
          <w:b/>
          <w:bCs/>
          <w:color w:val="auto"/>
          <w:sz w:val="28"/>
          <w:szCs w:val="28"/>
          <w:highlight w:val="none"/>
        </w:rPr>
      </w:pPr>
      <w:r>
        <w:rPr>
          <w:rFonts w:hint="eastAsia"/>
          <w:b/>
          <w:bCs/>
          <w:color w:val="auto"/>
          <w:sz w:val="28"/>
          <w:szCs w:val="28"/>
          <w:highlight w:val="none"/>
        </w:rPr>
        <w:t>一   说  明</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采购人、采购代理机构、供应商、联合体</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1.1采购人、采购代理机构：指依法进行政府采购的国家机关、事业单位、团体组织，及其委托的采购代理机构。本项目采购人、采购代理机构见第一章《采购邀请》。</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1.2供应商（也称“申请人”）：指向采购人提供货物、工程或者服务的法人、其他组织或者自然人。</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1.3联合体：指两个以上的自然人、法人或者其他组织组成一个联合体，以一个供应商的身份共同参加政府采购。</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资金来源、项目属性、科研仪器设备采购</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2.1资金来源为财政性资金和/或本项目采购中无法与财政性资金分割的非财政性资金。</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2.2项目属性见《供应商须知资料表》。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2.3是否属于科研仪器设备采购见《供应商须知资料表》。</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现场考察、磋商前答疑会</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3.1若《供应商须知资料表》中规定了组织现场考察、召开磋商前答疑会，则供应商应按要求在规定的时间和地点参加。</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3.2由于未参加现场考察或磋商前答疑会而导致对项目实际情况不了解，影响响应文件编制、报价准确性、综合因素响应不全面等问题的，由供应商自行承担不利评审后果。</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政府采购政策（包括但不限于下列具体政策要求）</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4.1进口产品</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4.1.1</w:t>
      </w:r>
      <w:r>
        <w:rPr>
          <w:rFonts w:hint="eastAsia" w:ascii="宋体" w:hAnsi="宋体" w:eastAsia="宋体" w:cs="宋体"/>
          <w:color w:val="auto"/>
          <w:sz w:val="21"/>
          <w:szCs w:val="21"/>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4.2中小企业、监狱企业及残疾人福利性单位</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4.2.1中小企业定义：</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4.2.1.2供应商提供的货物、工程或者服务符合下列情形的，享受中小企业扶持政策：</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4.2.1.3在货物采购项目中，供应商提供的货物既有中小企业制造货物，也有大型企业制造货物的，不享受中小企业扶持政策。</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4.2.1.4以联合体形式参加政府采购活动，联合体各方均为中小企业的，联合体视同中小企业。其中，联合体各方均为小微企业的，联合体视同小微企业。</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4.2.3残疾人福利单位定义：享受政府采购支持政策的残疾人福利性单位应当同时满足以下条件：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4.2.3.1安置的残疾人占本单位在职职工人数的比例不低于25%（含25%），并且安置的残疾人人数不少于10 人（含10 人）；</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4.2.3.2依法与安置的每位残疾人签订了一年以上（含一年）的劳动合同或服务协议；</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4.2.3.3为安置的每位残疾人按月足额缴纳了基本养老保险、基本医疗保险、失业保险、工伤保险和生育保险等社会保险费；</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4.2.3.4通过银行等金融机构向安置的每位残疾人，按月支付了不低于单位所在区县适用的经省级人民政府批准的月最低工资标准的工资</w:t>
      </w:r>
      <w:r>
        <w:rPr>
          <w:rFonts w:hint="eastAsia" w:ascii="宋体" w:hAnsi="宋体" w:eastAsia="宋体" w:cs="宋体"/>
          <w:color w:val="auto"/>
          <w:sz w:val="21"/>
          <w:szCs w:val="21"/>
          <w:highlight w:val="none"/>
          <w:lang w:eastAsia="zh-CN"/>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4.2.3.5提供本单位制造的货物、承担的工程或者服务（以下简称产品），或者提供其他残疾人福利性单位制造的货物（不包括使用非残疾人福利性单位注册商标的货物）</w:t>
      </w:r>
      <w:r>
        <w:rPr>
          <w:rFonts w:hint="eastAsia" w:ascii="宋体" w:hAnsi="宋体" w:eastAsia="宋体" w:cs="宋体"/>
          <w:color w:val="auto"/>
          <w:sz w:val="21"/>
          <w:szCs w:val="21"/>
          <w:highlight w:val="none"/>
          <w:lang w:eastAsia="zh-CN"/>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4.2.4本项目是否专门面向中小企业预留采购份额见第一章《采购邀请》。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4.2.5采购标的对应的中小企业划分标准所属行业见《供应商须知资料表》。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4.2.6小微企业价格评审优惠的政策调整：见第三章《</w:t>
      </w:r>
      <w:r>
        <w:rPr>
          <w:rFonts w:hint="eastAsia" w:ascii="宋体" w:hAnsi="宋体" w:eastAsia="宋体" w:cs="宋体"/>
          <w:color w:val="auto"/>
          <w:sz w:val="21"/>
          <w:szCs w:val="21"/>
          <w:highlight w:val="none"/>
          <w:lang w:val="en-US" w:eastAsia="zh-CN"/>
        </w:rPr>
        <w:t>评审程序、</w:t>
      </w:r>
      <w:r>
        <w:rPr>
          <w:rFonts w:hint="eastAsia" w:ascii="宋体" w:hAnsi="宋体" w:eastAsia="宋体" w:cs="宋体"/>
          <w:color w:val="auto"/>
          <w:sz w:val="21"/>
          <w:szCs w:val="21"/>
          <w:highlight w:val="none"/>
        </w:rPr>
        <w:t>评审方法和评审标准》。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4.3政府采购节能产品、环境标志产品</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4.3.3如本项目采购产品属于实施政府强制采购品目清单范围的节能产品，则供应商所报产品必须获得国家确定的认证机构出具的、处于有效期之内的节能产品认证证书，否则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lang w:eastAsia="zh-CN"/>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4.3.4非政府强制采购的节能产品或环境标志产品，依据品目清单和认证证书实施政府优先采购。优先采购的具体规定见第三章《评审方法和评审标准》（如涉及）。</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4.4支持乡村产业振兴管理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4.4.1</w:t>
      </w:r>
      <w:r>
        <w:rPr>
          <w:rFonts w:hint="eastAsia" w:ascii="宋体" w:hAnsi="宋体" w:eastAsia="宋体" w:cs="宋体"/>
          <w:color w:val="auto"/>
          <w:sz w:val="21"/>
          <w:szCs w:val="21"/>
          <w:highlight w:val="none"/>
        </w:rPr>
        <w:t>为落实《关于运用政府采购政策支持乡村产业振兴的通知》（财库〔2021〕19号）有关要求，做好支持脱贫攻坚工作，本项目采购活动中对于支持乡村振兴管理的相关要求见第四章《采购需求》（如涉及）。</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4.5正版软件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4.6信息安全产品</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4.6.1</w:t>
      </w:r>
      <w:r>
        <w:rPr>
          <w:rFonts w:hint="eastAsia" w:ascii="宋体" w:hAnsi="宋体" w:eastAsia="宋体" w:cs="宋体"/>
          <w:color w:val="auto"/>
          <w:sz w:val="21"/>
          <w:szCs w:val="21"/>
          <w:highlight w:val="none"/>
        </w:rPr>
        <w:t>所投产品属于《关于调整信息安全产品强制性认证实施要求的公告》（2009 年第33 号）范围的，采购经国家认证的信息安全产品，否则</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。关于信息安全相关规定依据《关于信息安全产品实施政府采购的通知》（财库〔2010〕48 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4.7政府采购创新产品政策</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4.7.1</w:t>
      </w:r>
      <w:r>
        <w:rPr>
          <w:rFonts w:hint="eastAsia" w:ascii="宋体" w:hAnsi="宋体" w:eastAsia="宋体" w:cs="宋体"/>
          <w:color w:val="auto"/>
          <w:sz w:val="21"/>
          <w:szCs w:val="21"/>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响应费用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供应商应自行承担所有与准备和参加磋商有关的费用，无论磋商的结果如何，采购人或采购代理机构在任何情况下均无承担这些费用的义务和责任。</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   竞争性磋商文件</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竞争性磋商文件构成</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6.1竞争性磋商文件包括以下部分：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第一章采购邀请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第二章供应商须知</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第三章评审程序、评审方法和评审标准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第四章采购需求</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第五章合同草案条款</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第六章响应文件格式</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对竞争性磋商文件的澄清或修改</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7.1采购人或采购代理机构对已发出的竞争性磋商文件进行必要澄清或者修改的，将在原公告发布媒体上以发布更正公告的形式通知所有获取磋商文件的供应商。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   响应文件的编制</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响应范围、竞争性磋商文件中计量单位的使用及磋商语言</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8.2除竞争性磋商文件有特殊要求外，本项目磋商所使用的计量单位，应采用中华人民共和国法定计量单位。</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响应文件构成</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9.1供应商应当按照竞争性磋商文件的要求编制响应文件，并对其提交的响应文件的真实性、合法性承担法律责任。响应文件的部分格式要求，见第六章《响应文件格式》。</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。未标记“实质性格式”的文件和竞争性磋商文件未提供格式的内容，可由供应商自行编写。</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9.3第三章《评审方法和评审标准》中涉及的证明文件。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9.5供应商认为应附的其他材料。</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报价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10.1本项目采用</w:t>
      </w:r>
      <w:r>
        <w:rPr>
          <w:rFonts w:hint="eastAsia" w:ascii="宋体" w:hAnsi="宋体" w:eastAsia="宋体" w:cs="宋体"/>
          <w:b/>
          <w:bCs/>
          <w:color w:val="auto"/>
          <w:sz w:val="21"/>
          <w:szCs w:val="21"/>
          <w:highlight w:val="none"/>
          <w:u w:val="single"/>
          <w:lang w:val="en-US" w:eastAsia="zh-CN"/>
        </w:rPr>
        <w:t>固定总价</w:t>
      </w:r>
      <w:r>
        <w:rPr>
          <w:rFonts w:hint="eastAsia" w:ascii="宋体" w:hAnsi="宋体" w:eastAsia="宋体" w:cs="宋体"/>
          <w:b/>
          <w:bCs/>
          <w:color w:val="auto"/>
          <w:sz w:val="21"/>
          <w:szCs w:val="21"/>
          <w:highlight w:val="none"/>
        </w:rPr>
        <w:t>。本项目磋商规则：至少二次报价，响应文件的磋商报价作为首次报价，在资格性及符合性评审结束后，所有符合继续参加磋商条件的供应商在规定时间内提交最后报价。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10.2供应商的报价应包括为完成本项目所发生的一切费用和税费，采购人将不再支付报价以外的任何费用。供应商的报价应包括但不限于下列内容，《供应商须知资料表》中有特殊规定的，从其规定。</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10.2.1所报价格为供应商在响应文件中提出的各项支付金额的总和。包括但不限于磋商文件及其基本技术要求范围内相应服务前的准备（包括现场踏勘等）、服务期内需要的服务管理内容、低值易耗品、通讯、交通、办公设备、巡检器材、各种税费、人工、保险、劳保、维护、利润、税金、政策性文件规定等各项应有费用，以及为完成磋商文件规定的内容所涉及到的一切相关费用。同时，除非合同条款中另有规定，否则，供应商所报价格在合同投标、实施期间不因市场变化因素而变动。 </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10.2.2按照竞争性磋商文件要求完成本项目的全部相关工程或服务费用。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10.3采购人不得向供应商索要或者接受其给予的赠品、回扣或者与采购无关的其他商品、服务。</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10.4供应商不能提供任何有选择性或可调整的最后报价（竞争性磋商文件另有规定的除外），否则其</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磋商保证金</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根据江苏省和常州市的相关文件规定，免收保证金。</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响应有效期</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响应文件的签署、盖章</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竞争性磋商文件要求签字的内容（如授权委托书等），供应商应按照要求，在规定的地方加盖单位公章以及供应商法定代表人或其委托代理人签字（盖章）；要求第三方出具的盖章件原件（如联合协议、分包意向协议、制造商授权书原件等），响应文件中应使用原件的复印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响应文件应无涂改和行间插字，供应商造成的必须修改的错误，修改处须加盖供应商公章，并由供应商法定代表人或代理人签字或盖章，否则</w:t>
      </w:r>
      <w:r>
        <w:rPr>
          <w:rFonts w:hint="eastAsia" w:ascii="宋体" w:hAnsi="宋体" w:eastAsia="宋体" w:cs="宋体"/>
          <w:b/>
          <w:bCs/>
          <w:color w:val="auto"/>
          <w:sz w:val="21"/>
          <w:szCs w:val="21"/>
          <w:highlight w:val="none"/>
        </w:rPr>
        <w:t>修改无效</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firstLine="42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13.3竞争性磋商文件要求盖章的内容，公章是指法定名称章，不包括合同专用章、业务专用章、部门专用章、财务专用章等印章。盖章是指加盖鲜章。</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   响应文件的提交</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响应文件的提交</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见《供应商须知资料表》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供应商应将响应文件</w:t>
      </w:r>
      <w:r>
        <w:rPr>
          <w:rFonts w:hint="eastAsia" w:ascii="宋体" w:hAnsi="宋体" w:eastAsia="宋体" w:cs="宋体"/>
          <w:b/>
          <w:bCs/>
          <w:color w:val="auto"/>
          <w:sz w:val="21"/>
          <w:szCs w:val="21"/>
          <w:highlight w:val="none"/>
        </w:rPr>
        <w:t>正本和所有副本密封，U盘单独密封</w:t>
      </w:r>
      <w:r>
        <w:rPr>
          <w:rFonts w:hint="eastAsia" w:ascii="宋体" w:hAnsi="宋体" w:eastAsia="宋体" w:cs="宋体"/>
          <w:color w:val="auto"/>
          <w:sz w:val="21"/>
          <w:szCs w:val="21"/>
          <w:highlight w:val="none"/>
        </w:rPr>
        <w:t>，所有封袋上都应当</w:t>
      </w:r>
      <w:r>
        <w:rPr>
          <w:rFonts w:hint="eastAsia" w:ascii="宋体" w:hAnsi="宋体" w:eastAsia="宋体" w:cs="宋体"/>
          <w:b/>
          <w:bCs/>
          <w:color w:val="auto"/>
          <w:sz w:val="21"/>
          <w:szCs w:val="21"/>
          <w:highlight w:val="none"/>
        </w:rPr>
        <w:t>加盖供应商公章</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所有封袋上都必须正确写明：正副本情况、项目编号、项目名称、供应商名称、供应商法定代表人或其授权委托人名称字样。</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14.4 供应商在递交响应文件时须提供有效的法定代表人或代理人身份证原件、《疫情期间参与政府采购活动开评标人员健康信息登记表》原件，未提供的，采购代理机构不接收其响应文件</w:t>
      </w:r>
      <w:r>
        <w:rPr>
          <w:rFonts w:hint="eastAsia" w:ascii="宋体" w:hAnsi="宋体" w:eastAsia="宋体" w:cs="宋体"/>
          <w:color w:val="auto"/>
          <w:sz w:val="21"/>
          <w:szCs w:val="21"/>
          <w:highlight w:val="none"/>
          <w:lang w:eastAsia="zh-CN"/>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供应商未按上述规定提交响应文件，其</w:t>
      </w:r>
      <w:r>
        <w:rPr>
          <w:rFonts w:hint="eastAsia" w:ascii="宋体" w:hAnsi="宋体" w:eastAsia="宋体" w:cs="宋体"/>
          <w:b/>
          <w:bCs/>
          <w:color w:val="auto"/>
          <w:sz w:val="21"/>
          <w:szCs w:val="21"/>
          <w:highlight w:val="none"/>
        </w:rPr>
        <w:t>响应文件将被拒绝</w:t>
      </w:r>
      <w:r>
        <w:rPr>
          <w:rFonts w:hint="eastAsia" w:ascii="宋体" w:hAnsi="宋体" w:eastAsia="宋体" w:cs="宋体"/>
          <w:color w:val="auto"/>
          <w:sz w:val="21"/>
          <w:szCs w:val="21"/>
          <w:highlight w:val="none"/>
        </w:rPr>
        <w:t>。</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响应文件截止时间</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供应商应在竞争性磋商文件要求提交响应文件截止时间前，将响应文件提交至《采购邀请》中注明的地点，凡逾期送达的响应文件将作为</w:t>
      </w:r>
      <w:r>
        <w:rPr>
          <w:rFonts w:hint="eastAsia" w:ascii="宋体" w:hAnsi="宋体" w:eastAsia="宋体" w:cs="宋体"/>
          <w:b/>
          <w:bCs/>
          <w:color w:val="auto"/>
          <w:sz w:val="21"/>
          <w:szCs w:val="21"/>
          <w:highlight w:val="none"/>
        </w:rPr>
        <w:t>无效响应文件</w:t>
      </w:r>
      <w:r>
        <w:rPr>
          <w:rFonts w:hint="eastAsia" w:ascii="宋体" w:hAnsi="宋体" w:eastAsia="宋体" w:cs="宋体"/>
          <w:color w:val="auto"/>
          <w:sz w:val="21"/>
          <w:szCs w:val="21"/>
          <w:highlight w:val="none"/>
        </w:rPr>
        <w:t>处理。</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响应文件的修改与撤回</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16.1供应商在递交响应文件后，可以修改或撤回其响应文件，但这种修改和撤回，必须在规定的提交响应文件截止时间前，以书面形式通知采购代理机构，修改或撤回其响应文件。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16.2供应商对响应文件的补充、修改的内容应当按照竞争性磋商文件要求签署、盖章，作为响应文件的组成部分。补充、修改的内容与响应文件不一致的，以补充、修改的内容为准。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修改或撤回文件应按规定进行编制、密封、标记和发送，并应在封套上加注“修改”或“撤回”字样。上述补充或修改若涉及磋商报价，必须注明“最后唯一报价”字样，否则将视为有选择的报价。修改文件必须在投标截止时间前送达采购代理机构。</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16.4在提交响应文件截止时间之后，供应商不得对其响应文件作任何修改。</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16.5在提交响应文件截止时间至磋商文件中规定的响应有效期满之间的这段时间内，供应商不得撤销其响应文件。</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评审</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响应文件的开启</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17.1采购人或采购代理机构将按竞争性磋商文件的规定，在响应文件提交截止时间的同一时间和竞争性磋商文件预先确定的地点开启响应文件。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17.2供应商不足3家的，不予开启。</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17.3本项目不公开报价。</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磋商小组</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18.1磋商小组根据政府采购有关规定和本次采购项目的特点进行组建，并负责具体评审事务，独立履行职责。</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18.2评审专家须符合相关规定。依法自行选定评审专家的，采购人和采购代理机构将查询有关信用记录，对具有行贿、受贿、欺诈等不良信用记录的人员，拒绝其参与政府采购活动。</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评审方法和评审标准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19.1见第三章《评审方法和评审标准》。</w:t>
      </w:r>
    </w:p>
    <w:p>
      <w:pPr>
        <w:pStyle w:val="82"/>
        <w:keepNext w:val="0"/>
        <w:keepLines w:val="0"/>
        <w:pageBreakBefore w:val="0"/>
        <w:widowControl w:val="0"/>
        <w:tabs>
          <w:tab w:val="left" w:pos="3990"/>
          <w:tab w:val="left" w:pos="4410"/>
        </w:tabs>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p>
    <w:p>
      <w:pPr>
        <w:pStyle w:val="82"/>
        <w:keepNext w:val="0"/>
        <w:keepLines w:val="0"/>
        <w:pageBreakBefore w:val="0"/>
        <w:widowControl w:val="0"/>
        <w:tabs>
          <w:tab w:val="left" w:pos="3990"/>
          <w:tab w:val="left" w:pos="4410"/>
        </w:tabs>
        <w:kinsoku/>
        <w:wordWrap/>
        <w:overflowPunct/>
        <w:topLinePunct w:val="0"/>
        <w:autoSpaceDE/>
        <w:autoSpaceDN/>
        <w:bidi w:val="0"/>
        <w:adjustRightInd/>
        <w:snapToGrid/>
        <w:spacing w:before="0"/>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确定成交</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确定成交供应商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20.1</w:t>
      </w:r>
      <w:r>
        <w:rPr>
          <w:rFonts w:hint="eastAsia" w:ascii="宋体" w:hAnsi="宋体" w:eastAsia="宋体" w:cs="宋体"/>
          <w:color w:val="auto"/>
          <w:sz w:val="21"/>
          <w:szCs w:val="21"/>
          <w:highlight w:val="none"/>
        </w:rPr>
        <w:t>采购人授权磋商小组直接确定成交供应商，从评审报告提出的成交候选供应商中，按照排序由高到低的原则确定成交供应商。成交候选人并列的，由采购人依法确定。</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成交公告与成交通知书</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21.1采购人或采购代理机构将在成交供应商确定后2个工作日内，在常州市政府采购网、</w:t>
      </w:r>
      <w:r>
        <w:rPr>
          <w:rFonts w:hint="eastAsia" w:ascii="宋体" w:hAnsi="宋体" w:eastAsia="宋体" w:cs="宋体"/>
          <w:color w:val="auto"/>
          <w:sz w:val="21"/>
          <w:szCs w:val="21"/>
          <w:highlight w:val="none"/>
          <w:lang w:eastAsia="zh-CN"/>
        </w:rPr>
        <w:t>江苏常信招标代理有限公司</w:t>
      </w:r>
      <w:r>
        <w:rPr>
          <w:rFonts w:hint="eastAsia" w:ascii="宋体" w:hAnsi="宋体" w:eastAsia="宋体" w:cs="宋体"/>
          <w:color w:val="auto"/>
          <w:sz w:val="21"/>
          <w:szCs w:val="21"/>
          <w:highlight w:val="none"/>
        </w:rPr>
        <w:t>网站公告成交结果，同时向成交供应商发出成交通知书，成交公告期限为1个工作日。</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21.2成交通知书是合同的组成部分，对采购人和成交供应商具有同等法律效力。成交通知书发出后，采购人改变成交结果的，或者成交供应商放弃成交项目的，将依法承担法律责任。</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终止</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22.1在采购中，出现下列情形之一的，采购人或采购代理机构</w:t>
      </w:r>
      <w:r>
        <w:rPr>
          <w:rFonts w:hint="eastAsia" w:ascii="宋体" w:hAnsi="宋体" w:eastAsia="宋体" w:cs="宋体"/>
          <w:b w:val="0"/>
          <w:bCs w:val="0"/>
          <w:color w:val="auto"/>
          <w:sz w:val="21"/>
          <w:szCs w:val="21"/>
          <w:highlight w:val="none"/>
        </w:rPr>
        <w:t>将终止竞争性磋商采购活动，发</w:t>
      </w:r>
      <w:r>
        <w:rPr>
          <w:rFonts w:hint="eastAsia" w:ascii="宋体" w:hAnsi="宋体" w:eastAsia="宋体" w:cs="宋体"/>
          <w:color w:val="auto"/>
          <w:sz w:val="21"/>
          <w:szCs w:val="21"/>
          <w:highlight w:val="none"/>
        </w:rPr>
        <w:t>布项目终止公告并说明原因，重新开展采购活动：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22.1.1因情况变化，不再符合规定的竞争性磋商采购方式适用情形的；</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22.1.2出现影响采购公正的违法、违规行为的；</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签订合同</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23.1采购人与成交供应商将在成交通知书发出之日起30日内，按照磋商文件确定的合同文本以及采购标的、规格型号、采购金额、采购数量、技术和服务要求等事项签订政府采购合同。</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23.3联合体获得成交资格的，联合体各方应当共同与采购人签订合同，就成交项目向采购人承担连带责任。</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23.4政府采购合同不能转包。</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询问与质疑</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24.1询问</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24.1.1供应商对政府采购活动事项有疑问的，可依法提出询问，并按《供应商须知资料表》载明的形式及时间送达采购人或采购代理机构。</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24.1.2采购人或采购代理机构对供应商依法提出的询问，在3个工作日内作出答复，但答复的内容不得涉及商业秘密。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24.2质疑</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24.2.2</w:t>
      </w:r>
      <w:r>
        <w:rPr>
          <w:rFonts w:hint="eastAsia" w:ascii="宋体" w:hAnsi="宋体" w:eastAsia="宋体" w:cs="宋体"/>
          <w:b/>
          <w:bCs/>
          <w:color w:val="auto"/>
          <w:sz w:val="21"/>
          <w:szCs w:val="21"/>
          <w:highlight w:val="none"/>
        </w:rPr>
        <w:t>磋商文件中采购需求以及相关部分（第四章、第五章以及供应商资格要求）由采购人负责制定和管理，对该部分内容有询问或者质疑的，供应商应当向采购人书面提出，由采购人负责接收和回复。</w:t>
      </w:r>
    </w:p>
    <w:p>
      <w:pPr>
        <w:pStyle w:val="82"/>
        <w:keepNext w:val="0"/>
        <w:keepLines w:val="0"/>
        <w:pageBreakBefore w:val="0"/>
        <w:widowControl w:val="0"/>
        <w:kinsoku/>
        <w:wordWrap/>
        <w:overflowPunct/>
        <w:topLinePunct w:val="0"/>
        <w:autoSpaceDE/>
        <w:autoSpaceDN/>
        <w:bidi w:val="0"/>
        <w:adjustRightInd/>
        <w:snapToGrid w:val="0"/>
        <w:spacing w:before="0"/>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24.2.3质疑函须使用财政部制定的范本文件。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下载网址：</w:t>
      </w:r>
      <w:r>
        <w:rPr>
          <w:rFonts w:hint="eastAsia" w:ascii="宋体" w:hAnsi="宋体" w:eastAsia="宋体" w:cs="宋体"/>
          <w:color w:val="auto"/>
          <w:sz w:val="21"/>
          <w:szCs w:val="21"/>
          <w:highlight w:val="none"/>
          <w:u w:val="none"/>
        </w:rPr>
        <w:t>http://gk</w:t>
      </w:r>
      <w:bookmarkStart w:id="80" w:name="_Hlt100654014"/>
      <w:r>
        <w:rPr>
          <w:rFonts w:hint="eastAsia" w:ascii="宋体" w:hAnsi="宋体" w:eastAsia="宋体" w:cs="宋体"/>
          <w:color w:val="auto"/>
          <w:sz w:val="21"/>
          <w:szCs w:val="21"/>
          <w:highlight w:val="none"/>
          <w:u w:val="none"/>
        </w:rPr>
        <w:t>s</w:t>
      </w:r>
      <w:bookmarkEnd w:id="80"/>
      <w:r>
        <w:rPr>
          <w:rFonts w:hint="eastAsia" w:ascii="宋体" w:hAnsi="宋体" w:eastAsia="宋体" w:cs="宋体"/>
          <w:color w:val="auto"/>
          <w:sz w:val="21"/>
          <w:szCs w:val="21"/>
          <w:highlight w:val="none"/>
          <w:u w:val="none"/>
        </w:rPr>
        <w:t>.m</w:t>
      </w:r>
      <w:bookmarkStart w:id="81" w:name="_Hlt100653994"/>
      <w:bookmarkStart w:id="82" w:name="_Hlt100653993"/>
      <w:r>
        <w:rPr>
          <w:rFonts w:hint="eastAsia" w:ascii="宋体" w:hAnsi="宋体" w:eastAsia="宋体" w:cs="宋体"/>
          <w:color w:val="auto"/>
          <w:sz w:val="21"/>
          <w:szCs w:val="21"/>
          <w:highlight w:val="none"/>
          <w:u w:val="none"/>
        </w:rPr>
        <w:t>o</w:t>
      </w:r>
      <w:bookmarkEnd w:id="81"/>
      <w:bookmarkEnd w:id="82"/>
      <w:bookmarkStart w:id="83" w:name="_Hlt101169156"/>
      <w:r>
        <w:rPr>
          <w:rFonts w:hint="eastAsia" w:ascii="宋体" w:hAnsi="宋体" w:eastAsia="宋体" w:cs="宋体"/>
          <w:color w:val="auto"/>
          <w:sz w:val="21"/>
          <w:szCs w:val="21"/>
          <w:highlight w:val="none"/>
          <w:u w:val="none"/>
        </w:rPr>
        <w:t>f</w:t>
      </w:r>
      <w:bookmarkEnd w:id="83"/>
      <w:r>
        <w:rPr>
          <w:rFonts w:hint="eastAsia" w:ascii="宋体" w:hAnsi="宋体" w:eastAsia="宋体" w:cs="宋体"/>
          <w:color w:val="auto"/>
          <w:sz w:val="21"/>
          <w:szCs w:val="21"/>
          <w:highlight w:val="none"/>
          <w:u w:val="none"/>
        </w:rPr>
        <w:t>.gov.cn/ztztz/zhengfucaigouguanli/201802/t20180201_2804589.htm</w:t>
      </w:r>
      <w:r>
        <w:rPr>
          <w:rFonts w:hint="eastAsia" w:ascii="宋体" w:hAnsi="宋体" w:eastAsia="宋体" w:cs="宋体"/>
          <w:color w:val="auto"/>
          <w:sz w:val="21"/>
          <w:szCs w:val="21"/>
          <w:highlight w:val="none"/>
          <w:lang w:eastAsia="zh-CN"/>
        </w:rPr>
        <w:t>）</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24.2.4供应商为自然人的，应当由本人签字；供应商为法人或者其他组织的，应当由法定代表人、主要负责人，或者其授权代表签字或者盖章，并加盖公章。</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24.2.5供应商应在法定质疑期内一次性提出针对同一采购程序环节的质疑，法定质疑期内针对同一采购程序环节再次提出的质疑，采购人、采购代理机构有权不予答复。</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24.3接收询问和质疑的联系部门、联系电话和通讯地址见《供应商须知资料表》。</w:t>
      </w:r>
    </w:p>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代理费</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eastAsia="zh-CN"/>
        </w:rPr>
        <w:sectPr>
          <w:footerReference r:id="rId9" w:type="firs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3"/>
          <w:cols w:space="720" w:num="1"/>
          <w:titlePg/>
          <w:docGrid w:linePitch="462" w:charSpace="0"/>
        </w:sectPr>
      </w:pPr>
      <w:r>
        <w:rPr>
          <w:rFonts w:hint="eastAsia" w:ascii="宋体" w:hAnsi="宋体" w:eastAsia="宋体" w:cs="宋体"/>
          <w:color w:val="auto"/>
          <w:sz w:val="21"/>
          <w:szCs w:val="21"/>
          <w:highlight w:val="none"/>
          <w:lang w:val="en-US" w:eastAsia="zh-CN"/>
        </w:rPr>
        <w:t>25.1</w:t>
      </w:r>
      <w:r>
        <w:rPr>
          <w:rFonts w:hint="eastAsia" w:ascii="宋体" w:hAnsi="宋体" w:eastAsia="宋体" w:cs="宋体"/>
          <w:color w:val="auto"/>
          <w:sz w:val="21"/>
          <w:szCs w:val="21"/>
          <w:highlight w:val="none"/>
        </w:rPr>
        <w:t>收费对象、收费标准及缴纳时间见《供应商须知资料表》。由成交供应商支付的，成交供应商须一次性向采购代理机构缴纳代理费，报价应包含代理费用</w:t>
      </w:r>
      <w:r>
        <w:rPr>
          <w:rFonts w:hint="eastAsia" w:ascii="宋体" w:hAnsi="宋体" w:eastAsia="宋体" w:cs="宋体"/>
          <w:color w:val="auto"/>
          <w:sz w:val="21"/>
          <w:szCs w:val="21"/>
          <w:highlight w:val="none"/>
          <w:lang w:eastAsia="zh-CN"/>
        </w:rPr>
        <w:t>。</w:t>
      </w:r>
    </w:p>
    <w:p>
      <w:pPr>
        <w:spacing w:line="360" w:lineRule="auto"/>
        <w:jc w:val="center"/>
        <w:outlineLvl w:val="0"/>
        <w:rPr>
          <w:rFonts w:hint="eastAsia" w:ascii="宋体" w:hAnsi="宋体" w:eastAsia="宋体" w:cs="宋体"/>
          <w:b/>
          <w:color w:val="auto"/>
          <w:sz w:val="32"/>
          <w:szCs w:val="32"/>
          <w:highlight w:val="none"/>
        </w:rPr>
      </w:pPr>
      <w:bookmarkStart w:id="84" w:name="_Toc264969244"/>
      <w:bookmarkStart w:id="85" w:name="_Toc353825544"/>
      <w:bookmarkStart w:id="86" w:name="_Toc353873664"/>
      <w:bookmarkStart w:id="87" w:name="_Toc127151554"/>
      <w:bookmarkStart w:id="88" w:name="_Toc305158896"/>
      <w:bookmarkStart w:id="89" w:name="_Toc353873934"/>
      <w:bookmarkStart w:id="90" w:name="_Toc305158822"/>
      <w:bookmarkStart w:id="91" w:name="_Toc150774759"/>
      <w:bookmarkStart w:id="92" w:name="_Toc226337250"/>
      <w:bookmarkStart w:id="93" w:name="_Toc150480792"/>
      <w:bookmarkStart w:id="94" w:name="_Toc265228392"/>
      <w:bookmarkStart w:id="95" w:name="_Toc142311056"/>
      <w:bookmarkStart w:id="96" w:name="_Toc226965827"/>
      <w:bookmarkStart w:id="97" w:name="_Toc104818927"/>
      <w:r>
        <w:rPr>
          <w:rFonts w:hint="eastAsia" w:ascii="宋体" w:hAnsi="宋体" w:eastAsia="宋体" w:cs="宋体"/>
          <w:b/>
          <w:color w:val="auto"/>
          <w:sz w:val="32"/>
          <w:szCs w:val="32"/>
          <w:highlight w:val="none"/>
        </w:rPr>
        <w:t xml:space="preserve">第三章   </w:t>
      </w:r>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cs="宋体"/>
          <w:b/>
          <w:color w:val="auto"/>
          <w:sz w:val="32"/>
          <w:szCs w:val="32"/>
          <w:highlight w:val="none"/>
        </w:rPr>
        <w:t>评审程序、评审方法和评审标准</w:t>
      </w:r>
      <w:bookmarkEnd w:id="97"/>
      <w:bookmarkStart w:id="98" w:name="_Toc487900382"/>
    </w:p>
    <w:p>
      <w:pPr>
        <w:pStyle w:val="4"/>
        <w:spacing w:before="0" w:line="360" w:lineRule="auto"/>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评审程序</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98"/>
    <w:p>
      <w:pPr>
        <w:pStyle w:val="82"/>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auto"/>
          <w:sz w:val="21"/>
          <w:szCs w:val="21"/>
          <w:highlight w:val="none"/>
          <w:lang w:val="en-US" w:eastAsia="zh-CN"/>
        </w:rPr>
      </w:pPr>
      <w:bookmarkStart w:id="99" w:name="_Toc164229382"/>
      <w:bookmarkStart w:id="100" w:name="_Toc264969231"/>
      <w:bookmarkStart w:id="101" w:name="_Toc150774746"/>
      <w:bookmarkStart w:id="102" w:name="_Toc127161455"/>
      <w:bookmarkStart w:id="103" w:name="_Toc149720834"/>
      <w:bookmarkStart w:id="104" w:name="_Toc265228379"/>
      <w:bookmarkStart w:id="105" w:name="_Toc164229236"/>
      <w:bookmarkStart w:id="106" w:name="_Toc151193855"/>
      <w:bookmarkStart w:id="107" w:name="_Toc127151541"/>
      <w:bookmarkStart w:id="108" w:name="_Toc150774641"/>
      <w:bookmarkStart w:id="109" w:name="_Toc127151742"/>
      <w:bookmarkStart w:id="110" w:name="_Toc151193929"/>
      <w:bookmarkStart w:id="111" w:name="_Toc150509292"/>
      <w:bookmarkStart w:id="112" w:name="_Toc226337237"/>
      <w:bookmarkStart w:id="113" w:name="_Toc151193783"/>
      <w:bookmarkStart w:id="114" w:name="_Toc226965814"/>
      <w:bookmarkStart w:id="115" w:name="_Toc164351635"/>
      <w:bookmarkStart w:id="116" w:name="_Toc151193711"/>
      <w:bookmarkStart w:id="117" w:name="_Toc150480779"/>
      <w:bookmarkStart w:id="118" w:name="_Toc226965731"/>
      <w:bookmarkStart w:id="119" w:name="_Toc305158883"/>
      <w:bookmarkStart w:id="120" w:name="_Toc142311043"/>
      <w:bookmarkStart w:id="121" w:name="_Toc151193639"/>
      <w:bookmarkStart w:id="122" w:name="_Toc164608810"/>
      <w:bookmarkStart w:id="123" w:name="_Toc151190168"/>
      <w:bookmarkStart w:id="124" w:name="_Toc164608655"/>
      <w:bookmarkStart w:id="125" w:name="_Toc305158809"/>
      <w:bookmarkStart w:id="126" w:name="_Toc195842906"/>
      <w:bookmarkStart w:id="127" w:name="_Toc226309785"/>
      <w:bookmarkStart w:id="128" w:name="_Toc353825551"/>
      <w:bookmarkStart w:id="129" w:name="_Toc353873941"/>
      <w:bookmarkStart w:id="130" w:name="_Toc265228393"/>
      <w:bookmarkStart w:id="131" w:name="_Toc226965828"/>
      <w:bookmarkStart w:id="132" w:name="_Toc195842920"/>
      <w:bookmarkStart w:id="133" w:name="_Toc305158823"/>
      <w:bookmarkStart w:id="134" w:name="_Toc353873935"/>
      <w:bookmarkStart w:id="135" w:name="_Toc226337251"/>
      <w:bookmarkStart w:id="136" w:name="_Toc127151555"/>
      <w:bookmarkStart w:id="137" w:name="_Toc150774760"/>
      <w:bookmarkStart w:id="138" w:name="_Toc353873665"/>
      <w:bookmarkStart w:id="139" w:name="_Toc150480793"/>
      <w:bookmarkStart w:id="140" w:name="_Toc353825545"/>
      <w:bookmarkStart w:id="141" w:name="_Toc264969245"/>
      <w:bookmarkStart w:id="142" w:name="_Toc305158897"/>
      <w:bookmarkStart w:id="143" w:name="_Toc142311057"/>
      <w:r>
        <w:rPr>
          <w:rFonts w:hint="eastAsia" w:ascii="宋体" w:hAnsi="宋体" w:eastAsia="宋体" w:cs="宋体"/>
          <w:b/>
          <w:bCs/>
          <w:color w:val="auto"/>
          <w:sz w:val="21"/>
          <w:szCs w:val="21"/>
          <w:highlight w:val="none"/>
          <w:lang w:val="en-US" w:eastAsia="zh-CN"/>
        </w:rPr>
        <w:t xml:space="preserve">1 </w:t>
      </w:r>
      <w:r>
        <w:rPr>
          <w:rFonts w:hint="eastAsia" w:ascii="宋体" w:hAnsi="宋体" w:eastAsia="宋体" w:cs="宋体"/>
          <w:b/>
          <w:bCs/>
          <w:color w:val="auto"/>
          <w:sz w:val="21"/>
          <w:szCs w:val="21"/>
          <w:highlight w:val="none"/>
        </w:rPr>
        <w:t>响应</w:t>
      </w:r>
      <w:r>
        <w:rPr>
          <w:rFonts w:hint="eastAsia" w:ascii="宋体" w:hAnsi="宋体" w:eastAsia="宋体" w:cs="宋体"/>
          <w:b/>
          <w:bCs/>
          <w:color w:val="auto"/>
          <w:sz w:val="21"/>
          <w:szCs w:val="21"/>
          <w:highlight w:val="none"/>
          <w:lang w:val="en-US" w:eastAsia="zh-CN"/>
        </w:rPr>
        <w:t>文件的</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bCs/>
          <w:color w:val="auto"/>
          <w:sz w:val="21"/>
          <w:szCs w:val="21"/>
          <w:highlight w:val="none"/>
          <w:lang w:val="en-US" w:eastAsia="zh-CN"/>
        </w:rPr>
        <w:t>资格性检查和符合性审查</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w:t>
      </w:r>
      <w:r>
        <w:rPr>
          <w:rFonts w:hint="eastAsia" w:ascii="宋体" w:hAnsi="宋体" w:eastAsia="宋体" w:cs="宋体"/>
          <w:b/>
          <w:bCs/>
          <w:color w:val="auto"/>
          <w:sz w:val="21"/>
          <w:szCs w:val="21"/>
          <w:highlight w:val="none"/>
          <w:lang w:val="en-US" w:eastAsia="zh-CN"/>
        </w:rPr>
        <w:t>按无效响应</w:t>
      </w:r>
      <w:r>
        <w:rPr>
          <w:rFonts w:hint="eastAsia" w:ascii="宋体" w:hAnsi="宋体" w:eastAsia="宋体" w:cs="宋体"/>
          <w:color w:val="auto"/>
          <w:sz w:val="21"/>
          <w:szCs w:val="21"/>
          <w:highlight w:val="none"/>
          <w:lang w:val="en-US" w:eastAsia="zh-CN"/>
        </w:rPr>
        <w:t>处理，磋商小组应当告知提交响应文件的供应商。</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1.2《资格性检查要求》中对格式有要求的，除竞争性磋商文件另有规定外，均为“实质性格式”文件。</w:t>
      </w:r>
    </w:p>
    <w:p>
      <w:pPr>
        <w:pStyle w:val="82"/>
        <w:keepNext w:val="0"/>
        <w:keepLines w:val="0"/>
        <w:pageBreakBefore w:val="0"/>
        <w:widowControl w:val="0"/>
        <w:kinsoku/>
        <w:wordWrap/>
        <w:overflowPunct/>
        <w:topLinePunct w:val="0"/>
        <w:autoSpaceDE/>
        <w:autoSpaceDN/>
        <w:bidi w:val="0"/>
        <w:adjustRightInd/>
        <w:snapToGrid/>
        <w:spacing w:before="0"/>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1.3《资格性检查要求》见下表：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资格性检查要求</w:t>
      </w:r>
    </w:p>
    <w:tbl>
      <w:tblPr>
        <w:tblStyle w:val="44"/>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2154"/>
        <w:gridCol w:w="4651"/>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color w:val="auto"/>
                <w:sz w:val="21"/>
                <w:szCs w:val="21"/>
                <w:highlight w:val="none"/>
              </w:rPr>
            </w:pPr>
            <w:bookmarkStart w:id="144" w:name="_Hlt487972895"/>
            <w:bookmarkEnd w:id="144"/>
            <w:r>
              <w:rPr>
                <w:rFonts w:hint="eastAsia" w:ascii="宋体" w:hAnsi="宋体" w:eastAsia="宋体" w:cs="宋体"/>
                <w:b/>
                <w:color w:val="auto"/>
                <w:sz w:val="21"/>
                <w:szCs w:val="21"/>
                <w:highlight w:val="none"/>
              </w:rPr>
              <w:t>序号</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审查因素</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审查内容</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满足《中华人民共和国政府采购法》第二十二条规定及法律法规的其他规定</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具体规定见第一章《采购邀请》</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供应商营业执照</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有效的法人或者其他组织的营业执照等证明文件</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供应商资格声明函</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提供符合采购文件要求的《供应商资格声明函》。</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供应商信用记录</w:t>
            </w:r>
          </w:p>
        </w:tc>
        <w:tc>
          <w:tcPr>
            <w:tcW w:w="2472" w:type="pct"/>
            <w:noWrap w:val="0"/>
            <w:vAlign w:val="center"/>
          </w:tcPr>
          <w:p>
            <w:pPr>
              <w:keepNext w:val="0"/>
              <w:keepLines w:val="0"/>
              <w:pageBreakBefore w:val="0"/>
              <w:widowControl w:val="0"/>
              <w:tabs>
                <w:tab w:val="left" w:pos="900"/>
                <w:tab w:val="left" w:pos="1980"/>
              </w:tabs>
              <w:kinsoku/>
              <w:wordWrap/>
              <w:overflowPunct/>
              <w:topLine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www.ccgp.gov.cn）；</w:t>
            </w:r>
          </w:p>
          <w:p>
            <w:pPr>
              <w:keepNext w:val="0"/>
              <w:keepLines w:val="0"/>
              <w:pageBreakBefore w:val="0"/>
              <w:widowControl w:val="0"/>
              <w:tabs>
                <w:tab w:val="left" w:pos="900"/>
                <w:tab w:val="left" w:pos="19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截止时点：提交响应文件截止时间以后、资格审查阶段采购人或采购代理机构的实际查询时间；</w:t>
            </w:r>
          </w:p>
          <w:p>
            <w:pPr>
              <w:keepNext w:val="0"/>
              <w:keepLines w:val="0"/>
              <w:pageBreakBefore w:val="0"/>
              <w:widowControl w:val="0"/>
              <w:tabs>
                <w:tab w:val="left" w:pos="900"/>
                <w:tab w:val="left" w:pos="19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信用信息查询记录和证据留存具体方式：查询结果网页打印页作为查询记录和证据，与其他采购文件一并保存；</w:t>
            </w:r>
          </w:p>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。联合体形式响应的，联合体成员存在不良信用记录，视同联合体存在不良信用记录。</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无须供应商提供，由采购人查询。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具体要求见第一章《采购邀请》</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供应商应提供中小企业声明函；如为监狱企业或残疾人福利性单位，不必提供中小企业声明函，但须按注1或注2要求提供证明材料。</w:t>
            </w:r>
          </w:p>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注1：监狱企业须提供由省级以上监狱管理局（常州市含教育矫治局）、戒毒管理局（含新疆生产建设兵团）出具的属于监狱企业的证明文件。</w:t>
            </w:r>
          </w:p>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注2：残疾人福利性单位须按磋商文件要求提供《残疾人福利性单位声明函》。</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2</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其它落实政府采购政策的资格要求</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  </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具体要求</w:t>
            </w:r>
            <w:r>
              <w:rPr>
                <w:rFonts w:hint="eastAsia" w:ascii="宋体" w:hAnsi="宋体" w:eastAsia="宋体" w:cs="宋体"/>
                <w:color w:val="auto"/>
                <w:sz w:val="21"/>
                <w:szCs w:val="21"/>
                <w:highlight w:val="none"/>
              </w:rPr>
              <w:t>见第一章《采购邀请》</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是否接受联合体响应</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本项目不接受联合体响应，供应商不得为联合体。</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387"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w:t>
            </w:r>
          </w:p>
        </w:tc>
        <w:tc>
          <w:tcPr>
            <w:tcW w:w="1145"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其他特定资格要求</w:t>
            </w:r>
          </w:p>
        </w:tc>
        <w:tc>
          <w:tcPr>
            <w:tcW w:w="2472"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c>
          <w:tcPr>
            <w:tcW w:w="994" w:type="pct"/>
            <w:noWrap w:val="0"/>
            <w:vAlign w:val="center"/>
          </w:tcPr>
          <w:p>
            <w:pPr>
              <w:keepNext w:val="0"/>
              <w:keepLines w:val="0"/>
              <w:pageBreakBefore w:val="0"/>
              <w:widowControl w:val="0"/>
              <w:tabs>
                <w:tab w:val="left" w:pos="1080"/>
              </w:tabs>
              <w:kinsoku/>
              <w:wordWrap/>
              <w:overflowPunct/>
              <w:autoSpaceDE/>
              <w:autoSpaceDN/>
              <w:bidi w:val="0"/>
              <w:adjustRightInd/>
              <w:snapToGrid w:val="0"/>
              <w:spacing w:before="164" w:beforeLines="35" w:after="164" w:afterLines="35"/>
              <w:textAlignment w:val="auto"/>
              <w:rPr>
                <w:rFonts w:hint="eastAsia" w:ascii="宋体" w:hAnsi="宋体" w:eastAsia="宋体" w:cs="宋体"/>
                <w:color w:val="auto"/>
                <w:sz w:val="21"/>
                <w:szCs w:val="21"/>
                <w:highlight w:val="none"/>
                <w:lang w:eastAsia="zh-CN"/>
              </w:rPr>
            </w:pPr>
          </w:p>
        </w:tc>
      </w:tr>
    </w:tbl>
    <w:p>
      <w:pPr>
        <w:rPr>
          <w:rFonts w:hint="eastAsia"/>
          <w:color w:val="auto"/>
          <w:highlight w:val="none"/>
        </w:rPr>
      </w:pPr>
    </w:p>
    <w:p>
      <w:pPr>
        <w:numPr>
          <w:ilvl w:val="0"/>
          <w:numId w:val="0"/>
        </w:numPr>
        <w:tabs>
          <w:tab w:val="left" w:pos="108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《符合性审查要求》见下表：</w:t>
      </w:r>
    </w:p>
    <w:p>
      <w:pPr>
        <w:widowControl/>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符合性审查要求</w:t>
      </w:r>
    </w:p>
    <w:tbl>
      <w:tblPr>
        <w:tblStyle w:val="44"/>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87"/>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响应函、</w:t>
            </w:r>
            <w:r>
              <w:rPr>
                <w:rFonts w:hint="eastAsia" w:ascii="宋体" w:hAnsi="宋体" w:eastAsia="宋体" w:cs="宋体"/>
                <w:color w:val="auto"/>
                <w:sz w:val="21"/>
                <w:szCs w:val="21"/>
                <w:highlight w:val="none"/>
              </w:rPr>
              <w:t>法定代表人资格证明书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授权委托书（如有）</w:t>
            </w:r>
            <w:r>
              <w:rPr>
                <w:rFonts w:hint="eastAsia" w:ascii="宋体" w:hAnsi="宋体" w:eastAsia="宋体" w:cs="宋体"/>
                <w:color w:val="auto"/>
                <w:sz w:val="21"/>
                <w:szCs w:val="21"/>
                <w:highlight w:val="none"/>
              </w:rPr>
              <w:t>和政府采购供应商信用承诺书</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按磋商文件要求提供响应函、</w:t>
            </w:r>
            <w:r>
              <w:rPr>
                <w:rFonts w:hint="eastAsia" w:ascii="宋体" w:hAnsi="宋体" w:eastAsia="宋体" w:cs="宋体"/>
                <w:color w:val="auto"/>
                <w:sz w:val="21"/>
                <w:szCs w:val="21"/>
                <w:highlight w:val="none"/>
              </w:rPr>
              <w:t>法定代表人资格证明书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授权委托书（如有）</w:t>
            </w:r>
            <w:r>
              <w:rPr>
                <w:rFonts w:hint="eastAsia" w:ascii="宋体" w:hAnsi="宋体" w:eastAsia="宋体" w:cs="宋体"/>
                <w:color w:val="auto"/>
                <w:sz w:val="21"/>
                <w:szCs w:val="21"/>
                <w:highlight w:val="none"/>
              </w:rPr>
              <w:t>和政府采购供应商信用承诺书</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响应完整性</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未将一个采购包中的内容拆开响应；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响应报价</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响应报价未</w:t>
            </w:r>
            <w:r>
              <w:rPr>
                <w:rFonts w:hint="eastAsia" w:ascii="宋体" w:hAnsi="宋体" w:eastAsia="宋体" w:cs="宋体"/>
                <w:color w:val="auto"/>
                <w:sz w:val="21"/>
                <w:szCs w:val="21"/>
                <w:highlight w:val="none"/>
              </w:rPr>
              <w:t>超过磋商文件中规定的项目/采购包预算金额或者项目/采购包最高限价</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报价唯一性</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响应文件未</w:t>
            </w:r>
            <w:r>
              <w:rPr>
                <w:rFonts w:hint="eastAsia" w:ascii="宋体" w:hAnsi="宋体" w:eastAsia="宋体" w:cs="宋体"/>
                <w:color w:val="auto"/>
                <w:sz w:val="21"/>
                <w:szCs w:val="21"/>
                <w:highlight w:val="none"/>
              </w:rPr>
              <w:t>出现可选择性或可调整的报价（磋商文件另有规定的除外）</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响应有效期</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响应文件中承诺的响应有效期满足磋商文件中载明的响应有效期的；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签署、加盖公章</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按照磋商文件要求签署、加盖公章的；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实质性格式</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标记为“实质性格式”的文件均按磋商文件要求提供；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★号条款响应</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响应文件满足磋商文件</w:t>
            </w:r>
            <w:r>
              <w:rPr>
                <w:rFonts w:hint="eastAsia" w:ascii="宋体" w:hAnsi="宋体" w:eastAsia="宋体" w:cs="宋体"/>
                <w:color w:val="auto"/>
                <w:sz w:val="21"/>
                <w:szCs w:val="21"/>
                <w:highlight w:val="none"/>
              </w:rPr>
              <w:t>《采购需求》</w:t>
            </w:r>
            <w:r>
              <w:rPr>
                <w:rFonts w:hint="eastAsia" w:ascii="宋体" w:hAnsi="宋体" w:eastAsia="宋体" w:cs="宋体"/>
                <w:color w:val="auto"/>
                <w:kern w:val="0"/>
                <w:sz w:val="21"/>
                <w:szCs w:val="21"/>
                <w:highlight w:val="none"/>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分包承担主体资质（如有）</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分包承担主体具备《供应商须知资料表》载明的资质条件且提供了资质证书电子件（如有）；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10</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分包意向协议</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（如有）</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按磋商文件规定签订并提供分包意向协议原件的电子件的；</w:t>
            </w:r>
            <w:r>
              <w:rPr>
                <w:rFonts w:hint="eastAsia" w:ascii="宋体" w:hAnsi="宋体" w:eastAsia="宋体" w:cs="宋体"/>
                <w:color w:val="auto"/>
                <w:sz w:val="21"/>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报价的修正</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响应文件报价出现前后不一致时，</w:t>
            </w:r>
            <w:r>
              <w:rPr>
                <w:rFonts w:hint="eastAsia" w:ascii="宋体" w:hAnsi="宋体" w:eastAsia="宋体" w:cs="宋体"/>
                <w:color w:val="auto"/>
                <w:kern w:val="0"/>
                <w:sz w:val="21"/>
                <w:szCs w:val="21"/>
                <w:highlight w:val="none"/>
              </w:rPr>
              <w:t>按《符合性审查要求》3.2.2-3.2.5项规定修正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供应商对修正后的报价予以确认；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进口产品</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（如有）</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磋商文件不接受进口产品响应的内容时，供应商所投产品非进口产品的；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国家有关部门对供应商的响应产品有强制性规定或要求的</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国家有关部门对供应商的响应产品有强制性规定或要求的（如相应技术、安全、节能和环保等），供应商的响应产品应符合相应规定或要求，并提供证明文件电子件：</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1）采购的产品若属于《节能产品政府采购品目清单》范围中政府强制采购产品，则供应商所报产品必须获得国家确定的认证机构出具的、处于有效期之内的节能产品认证证书；</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2）响应产品如涉及计算机信息系统安全专用产品的，须提供公安部颁发的计算机信息系统安全专用产品销售许可证；</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3）响应产品如有属于开展国家信息安全产品认证产品范围的，须提供由中国网络安全审查技术与认证中心（原中国信息安全认证中心）按国家标准认证颁发的有效认证证书等）；</w:t>
            </w:r>
          </w:p>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4</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公平竞争</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5</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串通响应</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不存在《政府采购货物和服务招标响应管理办法》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08"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6</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附加条件</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响应文件未含有采购人不能接受的附加条件的</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85" w:hRule="atLeast"/>
          <w:jc w:val="center"/>
        </w:trPr>
        <w:tc>
          <w:tcPr>
            <w:tcW w:w="397"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7</w:t>
            </w:r>
          </w:p>
        </w:tc>
        <w:tc>
          <w:tcPr>
            <w:tcW w:w="1162"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其他无效情形</w:t>
            </w:r>
          </w:p>
        </w:tc>
        <w:tc>
          <w:tcPr>
            <w:tcW w:w="3440" w:type="pct"/>
            <w:noWrap w:val="0"/>
            <w:vAlign w:val="center"/>
          </w:tcPr>
          <w:p>
            <w:pPr>
              <w:keepNext w:val="0"/>
              <w:keepLines w:val="0"/>
              <w:pageBreakBefore w:val="0"/>
              <w:widowControl/>
              <w:kinsoku/>
              <w:wordWrap/>
              <w:overflowPunct/>
              <w:topLinePunct w:val="0"/>
              <w:autoSpaceDE/>
              <w:autoSpaceDN/>
              <w:bidi w:val="0"/>
              <w:adjustRightInd/>
              <w:snapToGrid/>
              <w:spacing w:before="164" w:beforeLines="35" w:after="164" w:afterLines="3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供应商、响应文件不存在不符合法律、法规和磋商文件规定的其他无效情形。</w:t>
            </w:r>
          </w:p>
        </w:tc>
      </w:tr>
    </w:tbl>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1"/>
          <w:szCs w:val="21"/>
          <w:highlight w:val="none"/>
          <w:lang w:val="en-US" w:eastAsia="zh-CN"/>
        </w:rPr>
      </w:pPr>
    </w:p>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b/>
          <w:bCs/>
          <w:color w:val="auto"/>
          <w:sz w:val="21"/>
          <w:szCs w:val="21"/>
          <w:highlight w:val="none"/>
        </w:rPr>
        <w:t>磋商、响应文件有关事项的澄清、说明或者更正和</w:t>
      </w:r>
      <w:r>
        <w:rPr>
          <w:rFonts w:hint="eastAsia" w:ascii="宋体" w:hAnsi="宋体" w:eastAsia="宋体" w:cs="宋体"/>
          <w:b/>
          <w:bCs/>
          <w:color w:val="auto"/>
          <w:sz w:val="21"/>
          <w:szCs w:val="21"/>
          <w:highlight w:val="none"/>
          <w:lang w:eastAsia="zh-CN"/>
        </w:rPr>
        <w:t>最后报价</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磋商小组所有成员应当集中与单一供应商分别进行磋商，并给予所有参加磋商的供应商平等的磋商机会。</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对磋商文件作出的实质性变动是磋商文件的有效组成部分，磋商小组应当及时以书面形式通知所有参加磋商的供应商。</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响应文件的澄清、说明或者更正：</w:t>
      </w:r>
    </w:p>
    <w:p>
      <w:pPr>
        <w:keepNext w:val="0"/>
        <w:keepLines w:val="0"/>
        <w:pageBreakBefore w:val="0"/>
        <w:tabs>
          <w:tab w:val="left" w:pos="19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过程中，磋商小组会将以书面形式要求供应商对其响应文件中含义不明确、同类问题表述不一致或者有明显文字和计算错误的内容，作出必要的澄清、说明或者补正。供应商的澄清、说明或者补正应当采用书面形式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或者由法定代表人或其授权的代表签字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供应商的澄清、说明或者补正不得超出响应文件的范围或者改变响应文件的实质性内容。澄清文件将作为响应文件内容的一部分。</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磋商结束后，磋商小组将要求所有实质性响应的供应商在规定时间内提交</w:t>
      </w:r>
      <w:r>
        <w:rPr>
          <w:rFonts w:hint="eastAsia" w:ascii="宋体" w:hAnsi="宋体" w:eastAsia="宋体" w:cs="宋体"/>
          <w:b/>
          <w:color w:val="auto"/>
          <w:sz w:val="21"/>
          <w:szCs w:val="21"/>
          <w:highlight w:val="none"/>
          <w:lang w:eastAsia="zh-CN"/>
        </w:rPr>
        <w:t>最后报价。</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2.7</w:t>
      </w:r>
      <w:r>
        <w:rPr>
          <w:rFonts w:hint="eastAsia" w:ascii="宋体" w:hAnsi="宋体" w:eastAsia="宋体" w:cs="宋体"/>
          <w:snapToGrid w:val="0"/>
          <w:color w:val="auto"/>
          <w:sz w:val="21"/>
          <w:szCs w:val="21"/>
          <w:highlight w:val="none"/>
        </w:rPr>
        <w:t>磋商文件能够详细列明采购标的的技术、服务要求的，磋商结束后，磋商小组应当要求所有实质性响应的供应商在规定时间内提交</w:t>
      </w:r>
      <w:r>
        <w:rPr>
          <w:rFonts w:hint="eastAsia" w:ascii="宋体" w:hAnsi="宋体" w:eastAsia="宋体" w:cs="宋体"/>
          <w:snapToGrid w:val="0"/>
          <w:color w:val="auto"/>
          <w:sz w:val="21"/>
          <w:szCs w:val="21"/>
          <w:highlight w:val="none"/>
          <w:lang w:eastAsia="zh-CN"/>
        </w:rPr>
        <w:t>最后报价</w:t>
      </w:r>
      <w:r>
        <w:rPr>
          <w:rFonts w:hint="eastAsia" w:ascii="宋体" w:hAnsi="宋体" w:eastAsia="宋体" w:cs="宋体"/>
          <w:snapToGrid w:val="0"/>
          <w:color w:val="auto"/>
          <w:sz w:val="21"/>
          <w:szCs w:val="21"/>
          <w:highlight w:val="none"/>
        </w:rPr>
        <w:t>，提交</w:t>
      </w:r>
      <w:r>
        <w:rPr>
          <w:rFonts w:hint="eastAsia" w:ascii="宋体" w:hAnsi="宋体" w:eastAsia="宋体" w:cs="宋体"/>
          <w:snapToGrid w:val="0"/>
          <w:color w:val="auto"/>
          <w:sz w:val="21"/>
          <w:szCs w:val="21"/>
          <w:highlight w:val="none"/>
          <w:lang w:eastAsia="zh-CN"/>
        </w:rPr>
        <w:t>最后报价</w:t>
      </w:r>
      <w:r>
        <w:rPr>
          <w:rFonts w:hint="eastAsia" w:ascii="宋体" w:hAnsi="宋体" w:eastAsia="宋体" w:cs="宋体"/>
          <w:snapToGrid w:val="0"/>
          <w:color w:val="auto"/>
          <w:sz w:val="21"/>
          <w:szCs w:val="21"/>
          <w:highlight w:val="none"/>
        </w:rPr>
        <w:t>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w:t>
      </w:r>
      <w:r>
        <w:rPr>
          <w:rFonts w:hint="eastAsia" w:ascii="宋体" w:hAnsi="宋体" w:eastAsia="宋体" w:cs="宋体"/>
          <w:snapToGrid w:val="0"/>
          <w:color w:val="auto"/>
          <w:sz w:val="21"/>
          <w:szCs w:val="21"/>
          <w:highlight w:val="none"/>
          <w:lang w:eastAsia="zh-CN"/>
        </w:rPr>
        <w:t>最后报价</w:t>
      </w:r>
      <w:r>
        <w:rPr>
          <w:rFonts w:hint="eastAsia" w:ascii="宋体" w:hAnsi="宋体" w:eastAsia="宋体" w:cs="宋体"/>
          <w:snapToGrid w:val="0"/>
          <w:color w:val="auto"/>
          <w:sz w:val="21"/>
          <w:szCs w:val="21"/>
          <w:highlight w:val="none"/>
        </w:rPr>
        <w:t>。</w:t>
      </w:r>
      <w:r>
        <w:rPr>
          <w:rFonts w:hint="eastAsia" w:ascii="宋体" w:hAnsi="宋体" w:eastAsia="宋体" w:cs="宋体"/>
          <w:color w:val="auto"/>
          <w:sz w:val="21"/>
          <w:szCs w:val="21"/>
          <w:highlight w:val="none"/>
        </w:rPr>
        <w:t>市场竞争不充分的科研项目，以及需要扶持的科技成果转化项目，提交</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的供应商可以为2家；政府购买服务项目（含政府和社会资本合作项目），在采购过程中符合要求的供应商（社会资本）只有2家的，竞争性磋商采购活动可以继续进行。</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是供应商响应文件的有效组成部分。</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已提交响应文件的供应商，在提交</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之前，可以根据磋商情况退出磋商。</w:t>
      </w:r>
    </w:p>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b/>
          <w:bCs/>
          <w:color w:val="auto"/>
          <w:sz w:val="21"/>
          <w:szCs w:val="21"/>
          <w:highlight w:val="none"/>
          <w:lang w:eastAsia="zh-CN"/>
        </w:rPr>
        <w:t>最后报价</w:t>
      </w:r>
      <w:r>
        <w:rPr>
          <w:rFonts w:hint="eastAsia" w:ascii="宋体" w:hAnsi="宋体" w:eastAsia="宋体" w:cs="宋体"/>
          <w:b/>
          <w:bCs/>
          <w:color w:val="auto"/>
          <w:sz w:val="21"/>
          <w:szCs w:val="21"/>
          <w:highlight w:val="none"/>
        </w:rPr>
        <w:t>的算术修正及政策调整</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须包含竞争性磋商文件全部内容，如最后分项报价表有缺漏视为已含在其他各项报价中，将不对</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总价进行调整。磋商小组有权要求供应商在评审现场合理的时间内对此进行书面确认，供应商不确认的，视为将一个采购包中的内容拆开响应，其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出现前后不一致的，按照下列规定修正：</w:t>
      </w:r>
    </w:p>
    <w:p>
      <w:pPr>
        <w:keepNext w:val="0"/>
        <w:keepLines w:val="0"/>
        <w:pageBreakBefore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竞争性磋商文件对于报价修正是否另有规定：</w:t>
      </w:r>
    </w:p>
    <w:p>
      <w:pPr>
        <w:keepNext w:val="0"/>
        <w:keepLines w:val="0"/>
        <w:pageBreakBefore w:val="0"/>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□有，具体规定为：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p>
    <w:p>
      <w:pPr>
        <w:keepNext w:val="0"/>
        <w:keepLines w:val="0"/>
        <w:pageBreakBefore w:val="0"/>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无，按下述3.2.2-3.2.5项规定修正。</w:t>
      </w:r>
    </w:p>
    <w:p>
      <w:pPr>
        <w:keepNext w:val="0"/>
        <w:keepLines w:val="0"/>
        <w:pageBreakBefore w:val="0"/>
        <w:numPr>
          <w:ilvl w:val="0"/>
          <w:numId w:val="0"/>
        </w:numPr>
        <w:tabs>
          <w:tab w:val="left" w:pos="2035"/>
          <w:tab w:val="left" w:pos="2114"/>
          <w:tab w:val="left" w:pos="2977"/>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3.2.2</w:t>
      </w:r>
      <w:r>
        <w:rPr>
          <w:rFonts w:hint="eastAsia" w:ascii="宋体" w:hAnsi="宋体" w:eastAsia="宋体" w:cs="宋体"/>
          <w:color w:val="auto"/>
          <w:sz w:val="21"/>
          <w:szCs w:val="21"/>
          <w:highlight w:val="none"/>
        </w:rPr>
        <w:t>大写金额和小写金额不一致的，以大写金额为准；</w:t>
      </w:r>
    </w:p>
    <w:p>
      <w:pPr>
        <w:keepNext w:val="0"/>
        <w:keepLines w:val="0"/>
        <w:pageBreakBefore w:val="0"/>
        <w:numPr>
          <w:ilvl w:val="0"/>
          <w:numId w:val="0"/>
        </w:numPr>
        <w:tabs>
          <w:tab w:val="left" w:pos="2035"/>
          <w:tab w:val="left" w:pos="2114"/>
          <w:tab w:val="left" w:pos="2977"/>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单价金额小数点或者百分比有明显错位的，以</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一览表的总价为准，并修改单价；</w:t>
      </w:r>
    </w:p>
    <w:p>
      <w:pPr>
        <w:keepNext w:val="0"/>
        <w:keepLines w:val="0"/>
        <w:pageBreakBefore w:val="0"/>
        <w:numPr>
          <w:ilvl w:val="0"/>
          <w:numId w:val="0"/>
        </w:numPr>
        <w:tabs>
          <w:tab w:val="left" w:pos="2035"/>
          <w:tab w:val="left" w:pos="2114"/>
          <w:tab w:val="left" w:pos="2977"/>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3.2.4</w:t>
      </w:r>
      <w:r>
        <w:rPr>
          <w:rFonts w:hint="eastAsia" w:ascii="宋体" w:hAnsi="宋体" w:eastAsia="宋体" w:cs="宋体"/>
          <w:color w:val="auto"/>
          <w:sz w:val="21"/>
          <w:szCs w:val="21"/>
          <w:highlight w:val="none"/>
        </w:rPr>
        <w:t>总价金额与按单价汇总金额不一致的，以单价金额计算结果为准</w:t>
      </w:r>
      <w:r>
        <w:rPr>
          <w:rFonts w:hint="eastAsia" w:ascii="宋体" w:hAnsi="宋体" w:eastAsia="宋体" w:cs="宋体"/>
          <w:color w:val="auto"/>
          <w:sz w:val="21"/>
          <w:szCs w:val="21"/>
          <w:highlight w:val="none"/>
          <w:lang w:eastAsia="zh-CN"/>
        </w:rPr>
        <w:t>；</w:t>
      </w:r>
    </w:p>
    <w:p>
      <w:pPr>
        <w:keepNext w:val="0"/>
        <w:keepLines w:val="0"/>
        <w:pageBreakBefore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3.2.5</w:t>
      </w:r>
      <w:r>
        <w:rPr>
          <w:rFonts w:hint="eastAsia" w:ascii="宋体" w:hAnsi="宋体" w:eastAsia="宋体" w:cs="宋体"/>
          <w:color w:val="auto"/>
          <w:sz w:val="21"/>
          <w:szCs w:val="21"/>
          <w:highlight w:val="none"/>
        </w:rPr>
        <w:t>同时出现两种以上不一致的，按照前款规定的顺序修正。修正后的报价经供应商书面确认后产生约束力，供应商不确认的，</w:t>
      </w:r>
      <w:r>
        <w:rPr>
          <w:rFonts w:hint="eastAsia" w:ascii="宋体" w:hAnsi="宋体" w:eastAsia="宋体" w:cs="宋体"/>
          <w:b/>
          <w:color w:val="auto"/>
          <w:sz w:val="21"/>
          <w:szCs w:val="21"/>
          <w:highlight w:val="none"/>
        </w:rPr>
        <w:t>其响应无效</w:t>
      </w:r>
      <w:r>
        <w:rPr>
          <w:rFonts w:hint="eastAsia" w:ascii="宋体" w:hAnsi="宋体" w:eastAsia="宋体" w:cs="宋体"/>
          <w:color w:val="auto"/>
          <w:sz w:val="21"/>
          <w:szCs w:val="21"/>
          <w:highlight w:val="none"/>
        </w:rPr>
        <w:t>。</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落实政府采购政策的价格调整：只有符合第二章《供应商须知》4.2条规定情形的，可以享受中小企业扶持政策，用扣除后的价格参加评审；否则，评审时价格不予扣除。</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3.3.1</w:t>
      </w:r>
      <w:r>
        <w:rPr>
          <w:rFonts w:hint="eastAsia" w:ascii="宋体" w:hAnsi="宋体" w:eastAsia="宋体" w:cs="宋体"/>
          <w:color w:val="auto"/>
          <w:sz w:val="21"/>
          <w:szCs w:val="21"/>
          <w:highlight w:val="none"/>
        </w:rPr>
        <w:t>对于未预留份额专门面向中小企业采购的采购项目，以及预留份额项目中的非预留部分采购包，对</w:t>
      </w:r>
      <w:r>
        <w:rPr>
          <w:rFonts w:hint="eastAsia" w:ascii="宋体" w:hAnsi="宋体" w:eastAsia="宋体" w:cs="宋体"/>
          <w:b/>
          <w:color w:val="auto"/>
          <w:sz w:val="21"/>
          <w:szCs w:val="21"/>
          <w:highlight w:val="none"/>
        </w:rPr>
        <w:t>小微企业</w:t>
      </w:r>
      <w:r>
        <w:rPr>
          <w:rFonts w:hint="eastAsia" w:ascii="宋体" w:hAnsi="宋体" w:eastAsia="宋体" w:cs="宋体"/>
          <w:color w:val="auto"/>
          <w:sz w:val="21"/>
          <w:szCs w:val="21"/>
          <w:highlight w:val="none"/>
        </w:rPr>
        <w:t>报价给予</w:t>
      </w:r>
      <w:r>
        <w:rPr>
          <w:rFonts w:hint="eastAsia" w:ascii="宋体" w:hAnsi="宋体" w:eastAsia="宋体" w:cs="宋体"/>
          <w:b/>
          <w:bCs/>
          <w:color w:val="auto"/>
          <w:sz w:val="21"/>
          <w:szCs w:val="21"/>
          <w:highlight w:val="none"/>
          <w:u w:val="single"/>
          <w:lang w:val="en-US" w:eastAsia="zh-CN"/>
        </w:rPr>
        <w:t>20</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highlight w:val="none"/>
        </w:rPr>
        <w:t>的扣除，用扣除后的价格参加评审。</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3.3.2</w:t>
      </w:r>
      <w:r>
        <w:rPr>
          <w:rFonts w:hint="eastAsia" w:ascii="宋体" w:hAnsi="宋体" w:eastAsia="宋体" w:cs="宋体"/>
          <w:color w:val="auto"/>
          <w:sz w:val="21"/>
          <w:szCs w:val="21"/>
          <w:highlight w:val="none"/>
        </w:rPr>
        <w:t>对于未预留份额专门面向中小企业采购的采购项目，以及预留份额项目中的非预留部分采购包，且接受大中型企业与</w:t>
      </w:r>
      <w:r>
        <w:rPr>
          <w:rFonts w:hint="eastAsia" w:ascii="宋体" w:hAnsi="宋体" w:eastAsia="宋体" w:cs="宋体"/>
          <w:b/>
          <w:color w:val="auto"/>
          <w:sz w:val="21"/>
          <w:szCs w:val="21"/>
          <w:highlight w:val="none"/>
        </w:rPr>
        <w:t>小微企业</w:t>
      </w:r>
      <w:r>
        <w:rPr>
          <w:rFonts w:hint="eastAsia" w:ascii="宋体" w:hAnsi="宋体" w:eastAsia="宋体" w:cs="宋体"/>
          <w:color w:val="auto"/>
          <w:sz w:val="21"/>
          <w:szCs w:val="21"/>
          <w:highlight w:val="none"/>
        </w:rPr>
        <w:t>组成联合体或者允许大中型企业向一家或者多家</w:t>
      </w:r>
      <w:r>
        <w:rPr>
          <w:rFonts w:hint="eastAsia" w:ascii="宋体" w:hAnsi="宋体" w:eastAsia="宋体" w:cs="宋体"/>
          <w:b/>
          <w:color w:val="auto"/>
          <w:sz w:val="21"/>
          <w:szCs w:val="21"/>
          <w:highlight w:val="none"/>
        </w:rPr>
        <w:t>小微企业</w:t>
      </w:r>
      <w:r>
        <w:rPr>
          <w:rFonts w:hint="eastAsia" w:ascii="宋体" w:hAnsi="宋体" w:eastAsia="宋体" w:cs="宋体"/>
          <w:color w:val="auto"/>
          <w:sz w:val="21"/>
          <w:szCs w:val="21"/>
          <w:highlight w:val="none"/>
        </w:rPr>
        <w:t>分包的采购项目，对于联合协议或者分包意向协议约定</w:t>
      </w:r>
      <w:r>
        <w:rPr>
          <w:rFonts w:hint="eastAsia" w:ascii="宋体" w:hAnsi="宋体" w:eastAsia="宋体" w:cs="宋体"/>
          <w:b/>
          <w:color w:val="auto"/>
          <w:sz w:val="21"/>
          <w:szCs w:val="21"/>
          <w:highlight w:val="none"/>
        </w:rPr>
        <w:t>小微企业</w:t>
      </w:r>
      <w:r>
        <w:rPr>
          <w:rFonts w:hint="eastAsia" w:ascii="宋体" w:hAnsi="宋体" w:eastAsia="宋体" w:cs="宋体"/>
          <w:color w:val="auto"/>
          <w:sz w:val="21"/>
          <w:szCs w:val="21"/>
          <w:highlight w:val="none"/>
        </w:rPr>
        <w:t>的合同份额占到合同总金额 30%以上的联合体或者大中型企业的报价给予3%的扣除，用扣除后的价格参加评审。</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3.3.4</w:t>
      </w:r>
      <w:r>
        <w:rPr>
          <w:rFonts w:hint="eastAsia" w:ascii="宋体" w:hAnsi="宋体" w:eastAsia="宋体" w:cs="宋体"/>
          <w:color w:val="auto"/>
          <w:sz w:val="21"/>
          <w:szCs w:val="21"/>
          <w:highlight w:val="none"/>
        </w:rPr>
        <w:t>价格扣除比例对小型企业和微型企业同等对待，不作区分。</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3.3.5</w:t>
      </w:r>
      <w:r>
        <w:rPr>
          <w:rFonts w:hint="eastAsia" w:ascii="宋体" w:hAnsi="宋体" w:eastAsia="宋体" w:cs="宋体"/>
          <w:color w:val="auto"/>
          <w:sz w:val="21"/>
          <w:szCs w:val="21"/>
          <w:highlight w:val="none"/>
        </w:rPr>
        <w:t>中小企业参加政府采购活动，应当按照竞争性磋商文件给定的格式出具《中小企业声明函》，否则不得享受相关中小企业扶持政策。</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3.3.6</w:t>
      </w:r>
      <w:r>
        <w:rPr>
          <w:rFonts w:hint="eastAsia" w:ascii="宋体" w:hAnsi="宋体" w:eastAsia="宋体" w:cs="宋体"/>
          <w:color w:val="auto"/>
          <w:sz w:val="21"/>
          <w:szCs w:val="21"/>
          <w:highlight w:val="none"/>
        </w:rPr>
        <w:t>监狱企业提供了由省级以上监狱管理局（常州市含教育矫治局）、戒毒管理局（含新疆生产建设兵团）出具的属于监狱企业的证明文件的，视同小微企业。</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3.3.7</w:t>
      </w:r>
      <w:r>
        <w:rPr>
          <w:rFonts w:hint="eastAsia" w:ascii="宋体" w:hAnsi="宋体" w:eastAsia="宋体" w:cs="宋体"/>
          <w:color w:val="auto"/>
          <w:sz w:val="21"/>
          <w:szCs w:val="21"/>
          <w:highlight w:val="none"/>
        </w:rPr>
        <w:t>残疾人福利性单位按竞争性磋商文件要求提供了《残疾人福利性单位声明函》（见附件）的，视同小微企业。</w:t>
      </w:r>
    </w:p>
    <w:p>
      <w:pPr>
        <w:keepNext w:val="0"/>
        <w:keepLines w:val="0"/>
        <w:pageBreakBefore w:val="0"/>
        <w:numPr>
          <w:ilvl w:val="0"/>
          <w:numId w:val="0"/>
        </w:numPr>
        <w:tabs>
          <w:tab w:val="left" w:pos="1080"/>
          <w:tab w:val="left" w:pos="1589"/>
          <w:tab w:val="left" w:pos="2014"/>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3.3.8</w:t>
      </w:r>
      <w:r>
        <w:rPr>
          <w:rFonts w:hint="eastAsia" w:ascii="宋体" w:hAnsi="宋体" w:eastAsia="宋体" w:cs="宋体"/>
          <w:color w:val="auto"/>
          <w:sz w:val="21"/>
          <w:szCs w:val="21"/>
          <w:highlight w:val="none"/>
        </w:rPr>
        <w:t>若供应商同时属于小型或微型企业、监狱企业、残疾人福利性单位中的两种及以上，将不重复享受小微企业价格扣减的优惠政策。</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3.3.9</w:t>
      </w:r>
      <w:r>
        <w:rPr>
          <w:rFonts w:hint="eastAsia" w:ascii="宋体" w:hAnsi="宋体" w:eastAsia="宋体" w:cs="宋体"/>
          <w:color w:val="auto"/>
          <w:sz w:val="21"/>
          <w:szCs w:val="21"/>
          <w:highlight w:val="none"/>
        </w:rPr>
        <w:t>其他为落实政府采购政策实施的优先采购：</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4 </w:t>
      </w:r>
      <w:r>
        <w:rPr>
          <w:rFonts w:hint="eastAsia" w:ascii="宋体" w:hAnsi="宋体" w:eastAsia="宋体" w:cs="宋体"/>
          <w:b/>
          <w:bCs/>
          <w:color w:val="auto"/>
          <w:sz w:val="21"/>
          <w:szCs w:val="21"/>
          <w:highlight w:val="none"/>
        </w:rPr>
        <w:t>磋商环节及提交</w:t>
      </w:r>
      <w:r>
        <w:rPr>
          <w:rFonts w:hint="eastAsia" w:ascii="宋体" w:hAnsi="宋体" w:eastAsia="宋体" w:cs="宋体"/>
          <w:b/>
          <w:bCs/>
          <w:color w:val="auto"/>
          <w:sz w:val="21"/>
          <w:szCs w:val="21"/>
          <w:highlight w:val="none"/>
          <w:lang w:eastAsia="zh-CN"/>
        </w:rPr>
        <w:t>最后报价</w:t>
      </w:r>
      <w:r>
        <w:rPr>
          <w:rFonts w:hint="eastAsia" w:ascii="宋体" w:hAnsi="宋体" w:eastAsia="宋体" w:cs="宋体"/>
          <w:b/>
          <w:bCs/>
          <w:color w:val="auto"/>
          <w:sz w:val="21"/>
          <w:szCs w:val="21"/>
          <w:highlight w:val="none"/>
        </w:rPr>
        <w:t>后如出现以下情况的，供应商的响应文件无效：</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供应商对实质性变动不予确认的；</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不满足磋商文件★号条款或磋商文件技术指标超出磋商文件《采购需求》中主要技术参数允许偏差的最大范围的（如有）；</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未按照磋商小组规定的时间、逾期提交</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的；</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如供应商的</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超过竞争性磋商文件中规定的项目/采购包预算金额或者项目/采购包最高限价的；</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响应文件中出现可选择性或可调整的报价的（竞争性磋商文件另有规定的除外）；</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出现前后不一致，供应商对修正后的报价不予确认的；</w:t>
      </w:r>
    </w:p>
    <w:p>
      <w:pPr>
        <w:keepNext w:val="0"/>
        <w:keepLines w:val="0"/>
        <w:pageBreakBefore w:val="0"/>
        <w:numPr>
          <w:ilvl w:val="0"/>
          <w:numId w:val="0"/>
        </w:numPr>
        <w:tabs>
          <w:tab w:val="left" w:pos="1080"/>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bookmarkEnd w:id="128"/>
    <w:bookmarkEnd w:id="129"/>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5 </w:t>
      </w:r>
      <w:r>
        <w:rPr>
          <w:rFonts w:hint="eastAsia" w:ascii="宋体" w:hAnsi="宋体" w:eastAsia="宋体" w:cs="宋体"/>
          <w:b/>
          <w:bCs/>
          <w:color w:val="auto"/>
          <w:sz w:val="21"/>
          <w:szCs w:val="21"/>
          <w:highlight w:val="none"/>
        </w:rPr>
        <w:t>评审方法和评审标准</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竞争性磋商文件中没有规定的评审标准不得作为评审依据。</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非政府强制采购的节能产品或环境标志产品，依据品目清单和认证证书实施政府优先采购。优先采购的具体规定（如涉及）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关于无线局域网认证产品政府采购清单中的产品，优先采购的具体规定（如涉及）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6 </w:t>
      </w:r>
      <w:r>
        <w:rPr>
          <w:rFonts w:hint="eastAsia" w:ascii="宋体" w:hAnsi="宋体" w:eastAsia="宋体" w:cs="宋体"/>
          <w:b/>
          <w:bCs/>
          <w:color w:val="auto"/>
          <w:sz w:val="21"/>
          <w:szCs w:val="21"/>
          <w:highlight w:val="none"/>
        </w:rPr>
        <w:t>确定</w:t>
      </w:r>
      <w:bookmarkStart w:id="145" w:name="_Toc151193860"/>
      <w:bookmarkStart w:id="146" w:name="_Toc127151546"/>
      <w:bookmarkStart w:id="147" w:name="_Toc150774751"/>
      <w:bookmarkStart w:id="148" w:name="_Toc226309790"/>
      <w:bookmarkStart w:id="149" w:name="_Toc151193716"/>
      <w:bookmarkStart w:id="150" w:name="_Toc264969236"/>
      <w:bookmarkStart w:id="151" w:name="_Toc520356170"/>
      <w:bookmarkStart w:id="152" w:name="_Toc142311048"/>
      <w:bookmarkStart w:id="153" w:name="_Toc226337242"/>
      <w:bookmarkStart w:id="154" w:name="_Toc151190173"/>
      <w:bookmarkStart w:id="155" w:name="_Toc127151747"/>
      <w:bookmarkStart w:id="156" w:name="_Toc164229241"/>
      <w:bookmarkStart w:id="157" w:name="_Toc305158888"/>
      <w:bookmarkStart w:id="158" w:name="_Toc265228384"/>
      <w:bookmarkStart w:id="159" w:name="_Toc164608815"/>
      <w:bookmarkStart w:id="160" w:name="_Toc151193788"/>
      <w:bookmarkStart w:id="161" w:name="_Toc226965819"/>
      <w:bookmarkStart w:id="162" w:name="_Toc151193934"/>
      <w:bookmarkStart w:id="163" w:name="_Toc127161460"/>
      <w:bookmarkStart w:id="164" w:name="_Toc305158814"/>
      <w:bookmarkStart w:id="165" w:name="_Toc164351640"/>
      <w:bookmarkStart w:id="166" w:name="_Toc164608660"/>
      <w:bookmarkStart w:id="167" w:name="_Toc150480784"/>
      <w:bookmarkStart w:id="168" w:name="_Toc195842911"/>
      <w:bookmarkStart w:id="169" w:name="_Toc149720839"/>
      <w:bookmarkStart w:id="170" w:name="_Toc226965736"/>
      <w:bookmarkStart w:id="171" w:name="_Toc164229387"/>
      <w:bookmarkStart w:id="172" w:name="_Toc150509297"/>
      <w:bookmarkStart w:id="173" w:name="_Ref467307010"/>
      <w:bookmarkStart w:id="174" w:name="_Toc151193644"/>
      <w:bookmarkStart w:id="175" w:name="_Toc150774646"/>
      <w:r>
        <w:rPr>
          <w:rFonts w:hint="eastAsia" w:ascii="宋体" w:hAnsi="宋体" w:eastAsia="宋体" w:cs="宋体"/>
          <w:b/>
          <w:bCs/>
          <w:color w:val="auto"/>
          <w:sz w:val="21"/>
          <w:szCs w:val="21"/>
          <w:highlight w:val="none"/>
        </w:rPr>
        <w:t>成交候选人名单</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磋商小组将根据各供应商的评审排序以及磋商文件中关于成交候选人的相关规定，确定本项目成交候选人名单，按照评审得分由高到低顺序推荐成交候选人的排名顺序。评审得分相同的，按照</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由低到高的顺序推荐。评审得分且</w:t>
      </w:r>
      <w:r>
        <w:rPr>
          <w:rFonts w:hint="eastAsia" w:ascii="宋体" w:hAnsi="宋体" w:eastAsia="宋体" w:cs="宋体"/>
          <w:color w:val="auto"/>
          <w:sz w:val="21"/>
          <w:szCs w:val="21"/>
          <w:highlight w:val="none"/>
          <w:lang w:eastAsia="zh-CN"/>
        </w:rPr>
        <w:t>最后报价</w:t>
      </w:r>
      <w:r>
        <w:rPr>
          <w:rFonts w:hint="eastAsia" w:ascii="宋体" w:hAnsi="宋体" w:eastAsia="宋体" w:cs="宋体"/>
          <w:color w:val="auto"/>
          <w:sz w:val="21"/>
          <w:szCs w:val="21"/>
          <w:highlight w:val="none"/>
        </w:rPr>
        <w:t xml:space="preserve">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6.2</w:t>
      </w:r>
      <w:r>
        <w:rPr>
          <w:rFonts w:hint="eastAsia" w:ascii="宋体" w:hAnsi="宋体" w:eastAsia="宋体" w:cs="宋体"/>
          <w:color w:val="auto"/>
          <w:kern w:val="0"/>
          <w:sz w:val="21"/>
          <w:szCs w:val="21"/>
          <w:highlight w:val="none"/>
        </w:rPr>
        <w:t>磋商小组根据上述供应商排序，依次推荐排序前</w:t>
      </w:r>
      <w:r>
        <w:rPr>
          <w:rFonts w:hint="eastAsia" w:ascii="宋体" w:hAnsi="宋体" w:eastAsia="宋体" w:cs="宋体"/>
          <w:color w:val="auto"/>
          <w:sz w:val="21"/>
          <w:szCs w:val="21"/>
          <w:highlight w:val="none"/>
        </w:rPr>
        <w:t>3名</w:t>
      </w:r>
      <w:r>
        <w:rPr>
          <w:rFonts w:hint="eastAsia" w:ascii="宋体" w:hAnsi="宋体" w:eastAsia="宋体" w:cs="宋体"/>
          <w:color w:val="auto"/>
          <w:kern w:val="0"/>
          <w:sz w:val="21"/>
          <w:szCs w:val="21"/>
          <w:highlight w:val="none"/>
        </w:rPr>
        <w:t>的供应商为</w:t>
      </w:r>
      <w:r>
        <w:rPr>
          <w:rFonts w:hint="eastAsia" w:ascii="宋体" w:hAnsi="宋体" w:eastAsia="宋体" w:cs="宋体"/>
          <w:snapToGrid w:val="0"/>
          <w:color w:val="auto"/>
          <w:kern w:val="0"/>
          <w:sz w:val="21"/>
          <w:szCs w:val="21"/>
          <w:highlight w:val="none"/>
        </w:rPr>
        <w:t>成交候选供应商</w:t>
      </w:r>
      <w:r>
        <w:rPr>
          <w:rFonts w:hint="eastAsia" w:ascii="宋体" w:hAnsi="宋体" w:eastAsia="宋体" w:cs="宋体"/>
          <w:color w:val="auto"/>
          <w:kern w:val="0"/>
          <w:sz w:val="21"/>
          <w:szCs w:val="21"/>
          <w:highlight w:val="none"/>
        </w:rPr>
        <w:t>（若在磋商文件允许的情形下提交</w:t>
      </w:r>
      <w:r>
        <w:rPr>
          <w:rFonts w:hint="eastAsia" w:ascii="宋体" w:hAnsi="宋体" w:eastAsia="宋体" w:cs="宋体"/>
          <w:color w:val="auto"/>
          <w:kern w:val="0"/>
          <w:sz w:val="21"/>
          <w:szCs w:val="21"/>
          <w:highlight w:val="none"/>
          <w:lang w:eastAsia="zh-CN"/>
        </w:rPr>
        <w:t>最后报价</w:t>
      </w:r>
      <w:r>
        <w:rPr>
          <w:rFonts w:hint="eastAsia" w:ascii="宋体" w:hAnsi="宋体" w:eastAsia="宋体" w:cs="宋体"/>
          <w:color w:val="auto"/>
          <w:kern w:val="0"/>
          <w:sz w:val="21"/>
          <w:szCs w:val="21"/>
          <w:highlight w:val="none"/>
        </w:rPr>
        <w:t>的供应商为二家，则依次推荐二名供应商为成交候选供应商），并编写评审报告。</w:t>
      </w:r>
    </w:p>
    <w:p>
      <w:pPr>
        <w:keepNext w:val="0"/>
        <w:keepLines w:val="0"/>
        <w:pageBreakBefore w:val="0"/>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磋商小组要对评分汇总情况进行复核，特别是对排名第一的、报价最</w:t>
      </w:r>
      <w:r>
        <w:rPr>
          <w:rFonts w:hint="eastAsia" w:ascii="宋体" w:hAnsi="宋体" w:eastAsia="宋体" w:cs="宋体"/>
          <w:color w:val="auto"/>
          <w:kern w:val="0"/>
          <w:sz w:val="21"/>
          <w:szCs w:val="21"/>
          <w:highlight w:val="none"/>
        </w:rPr>
        <w:t>低的、响应文件被认定为无效的情形进行重点复核。</w:t>
      </w:r>
    </w:p>
    <w:p>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7 </w:t>
      </w:r>
      <w:r>
        <w:rPr>
          <w:rFonts w:hint="eastAsia" w:ascii="宋体" w:hAnsi="宋体" w:eastAsia="宋体" w:cs="宋体"/>
          <w:b/>
          <w:bCs/>
          <w:color w:val="auto"/>
          <w:sz w:val="21"/>
          <w:szCs w:val="21"/>
          <w:highlight w:val="none"/>
        </w:rPr>
        <w:t>报告违法行为</w:t>
      </w:r>
    </w:p>
    <w:p>
      <w:pPr>
        <w:keepNext w:val="0"/>
        <w:keepLines w:val="0"/>
        <w:pageBreakBefore w:val="0"/>
        <w:widowControl/>
        <w:numPr>
          <w:ilvl w:val="0"/>
          <w:numId w:val="0"/>
        </w:numPr>
        <w:tabs>
          <w:tab w:val="left" w:pos="1080"/>
          <w:tab w:val="left" w:pos="1872"/>
        </w:tabs>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磋商小组在评审过程中发现供应商有行贿、提供虚假材料或者串通等违法行为时，有向采购人、采购代理机构或者有关部门报告的职责。</w:t>
      </w:r>
    </w:p>
    <w:p>
      <w:pPr>
        <w:pStyle w:val="4"/>
        <w:spacing w:before="0" w:line="360" w:lineRule="auto"/>
        <w:rPr>
          <w:rFonts w:hint="eastAsia" w:ascii="宋体" w:hAnsi="宋体" w:eastAsia="宋体" w:cs="宋体"/>
          <w:color w:val="auto"/>
          <w:sz w:val="24"/>
          <w:szCs w:val="24"/>
          <w:highlight w:val="none"/>
        </w:rPr>
      </w:pPr>
    </w:p>
    <w:p>
      <w:pPr>
        <w:pStyle w:val="4"/>
        <w:spacing w:before="0" w:line="360" w:lineRule="auto"/>
        <w:rPr>
          <w:rFonts w:hint="eastAsia" w:ascii="宋体" w:hAnsi="宋体" w:eastAsia="宋体" w:cs="宋体"/>
          <w:color w:val="auto"/>
          <w:sz w:val="24"/>
          <w:szCs w:val="24"/>
          <w:highlight w:val="none"/>
        </w:rPr>
      </w:pPr>
    </w:p>
    <w:p>
      <w:pPr>
        <w:pStyle w:val="4"/>
        <w:spacing w:before="0" w:line="360" w:lineRule="auto"/>
        <w:jc w:val="both"/>
        <w:rPr>
          <w:rFonts w:hint="eastAsia" w:ascii="宋体" w:hAnsi="宋体" w:eastAsia="宋体" w:cs="宋体"/>
          <w:color w:val="auto"/>
          <w:sz w:val="24"/>
          <w:szCs w:val="24"/>
          <w:highlight w:val="none"/>
        </w:rPr>
      </w:pPr>
    </w:p>
    <w:p>
      <w:pPr>
        <w:pStyle w:val="5"/>
        <w:ind w:left="0" w:leftChars="0" w:firstLine="0" w:firstLineChars="0"/>
        <w:rPr>
          <w:rFonts w:hint="eastAsia" w:ascii="宋体" w:hAnsi="宋体" w:eastAsia="宋体" w:cs="宋体"/>
          <w:color w:val="auto"/>
          <w:sz w:val="24"/>
          <w:szCs w:val="24"/>
          <w:highlight w:val="none"/>
        </w:rPr>
      </w:pPr>
    </w:p>
    <w:p>
      <w:pPr>
        <w:pStyle w:val="5"/>
        <w:ind w:left="0" w:leftChars="0" w:firstLine="0" w:firstLineChars="0"/>
        <w:rPr>
          <w:rFonts w:hint="eastAsia"/>
          <w:color w:val="auto"/>
          <w:highlight w:val="none"/>
        </w:rPr>
      </w:pPr>
    </w:p>
    <w:p>
      <w:pPr>
        <w:pStyle w:val="4"/>
        <w:spacing w:before="0" w:line="360" w:lineRule="auto"/>
        <w:rPr>
          <w:rFonts w:hint="eastAsia" w:ascii="宋体" w:hAnsi="宋体" w:eastAsia="宋体" w:cs="宋体"/>
          <w:color w:val="auto"/>
          <w:sz w:val="28"/>
          <w:szCs w:val="28"/>
          <w:highlight w:val="none"/>
        </w:rPr>
      </w:pPr>
    </w:p>
    <w:p>
      <w:pPr>
        <w:pStyle w:val="4"/>
        <w:spacing w:before="0" w:line="360" w:lineRule="auto"/>
        <w:rPr>
          <w:rFonts w:hint="eastAsia" w:ascii="宋体" w:hAnsi="宋体" w:eastAsia="宋体" w:cs="宋体"/>
          <w:color w:val="auto"/>
          <w:sz w:val="28"/>
          <w:szCs w:val="28"/>
          <w:highlight w:val="none"/>
        </w:rPr>
      </w:pPr>
    </w:p>
    <w:p>
      <w:pPr>
        <w:pStyle w:val="4"/>
        <w:spacing w:before="0" w:line="360" w:lineRule="auto"/>
        <w:rPr>
          <w:rFonts w:hint="eastAsia" w:ascii="宋体" w:hAnsi="宋体" w:eastAsia="宋体" w:cs="宋体"/>
          <w:color w:val="auto"/>
          <w:sz w:val="28"/>
          <w:szCs w:val="28"/>
          <w:highlight w:val="none"/>
        </w:rPr>
      </w:pPr>
    </w:p>
    <w:p>
      <w:pPr>
        <w:pStyle w:val="4"/>
        <w:spacing w:before="0" w:line="360" w:lineRule="auto"/>
        <w:rPr>
          <w:rFonts w:hint="eastAsia" w:ascii="宋体" w:hAnsi="宋体" w:eastAsia="宋体" w:cs="宋体"/>
          <w:color w:val="auto"/>
          <w:sz w:val="28"/>
          <w:szCs w:val="28"/>
          <w:highlight w:val="none"/>
        </w:rPr>
      </w:pPr>
    </w:p>
    <w:p>
      <w:pPr>
        <w:pStyle w:val="4"/>
        <w:spacing w:before="0" w:line="360" w:lineRule="auto"/>
        <w:jc w:val="both"/>
        <w:rPr>
          <w:rFonts w:hint="eastAsia" w:ascii="宋体" w:hAnsi="宋体" w:eastAsia="宋体" w:cs="宋体"/>
          <w:color w:val="auto"/>
          <w:sz w:val="28"/>
          <w:szCs w:val="28"/>
          <w:highlight w:val="none"/>
        </w:rPr>
      </w:pPr>
    </w:p>
    <w:p>
      <w:pPr>
        <w:pStyle w:val="5"/>
        <w:rPr>
          <w:rFonts w:hint="eastAsia"/>
        </w:rPr>
      </w:pPr>
    </w:p>
    <w:p>
      <w:pPr>
        <w:pStyle w:val="4"/>
        <w:spacing w:before="0" w:line="360" w:lineRule="auto"/>
        <w:jc w:val="center"/>
        <w:rPr>
          <w:rFonts w:hint="eastAsia"/>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评审标准</w:t>
      </w:r>
    </w:p>
    <w:p>
      <w:pPr>
        <w:snapToGrid w:val="0"/>
        <w:spacing w:line="360" w:lineRule="exact"/>
        <w:ind w:firstLine="422" w:firstLineChars="200"/>
        <w:rPr>
          <w:rFonts w:ascii="宋体" w:hAnsi="宋体"/>
          <w:szCs w:val="21"/>
        </w:rPr>
      </w:pPr>
      <w:r>
        <w:rPr>
          <w:rFonts w:hint="eastAsia" w:ascii="宋体" w:hAnsi="宋体"/>
          <w:b/>
          <w:bCs/>
          <w:szCs w:val="21"/>
        </w:rPr>
        <w:t>一、本项目采用</w:t>
      </w:r>
      <w:r>
        <w:rPr>
          <w:rFonts w:hint="eastAsia" w:ascii="宋体" w:hAnsi="宋体"/>
          <w:b/>
          <w:bCs/>
          <w:szCs w:val="21"/>
          <w:u w:val="single"/>
        </w:rPr>
        <w:t>综合评分法</w:t>
      </w:r>
      <w:r>
        <w:rPr>
          <w:rFonts w:hint="eastAsia" w:ascii="宋体" w:hAnsi="宋体"/>
          <w:szCs w:val="21"/>
        </w:rPr>
        <w:t>，由磋商小组对所有有效投标进行详细的评分，采用百分制计分方法。评审时，磋商小组各成员</w:t>
      </w:r>
      <w:r>
        <w:rPr>
          <w:rFonts w:ascii="宋体" w:hAnsi="宋体"/>
          <w:szCs w:val="21"/>
        </w:rPr>
        <w:t>遵循公平、公正、择优原则</w:t>
      </w:r>
      <w:r>
        <w:rPr>
          <w:rFonts w:hint="eastAsia" w:ascii="宋体" w:hAnsi="宋体"/>
          <w:szCs w:val="21"/>
        </w:rPr>
        <w:t>，独立对每个有效供应商的标书进行评价、打分，各个供应商的</w:t>
      </w:r>
      <w:r>
        <w:rPr>
          <w:rFonts w:ascii="宋体" w:hAnsi="宋体"/>
          <w:szCs w:val="21"/>
        </w:rPr>
        <w:t>评审后</w:t>
      </w:r>
      <w:r>
        <w:rPr>
          <w:rFonts w:hint="eastAsia" w:ascii="宋体" w:hAnsi="宋体"/>
          <w:szCs w:val="21"/>
        </w:rPr>
        <w:t>最终得分为汇总计算所有评委所评定分值的平均值（保留2位小数）。</w:t>
      </w:r>
    </w:p>
    <w:p>
      <w:pPr>
        <w:spacing w:line="360" w:lineRule="atLeast"/>
        <w:ind w:firstLine="420" w:firstLineChars="200"/>
        <w:rPr>
          <w:rFonts w:ascii="宋体" w:hAnsi="宋体"/>
          <w:szCs w:val="21"/>
        </w:rPr>
      </w:pPr>
      <w:r>
        <w:rPr>
          <w:rFonts w:hint="eastAsia" w:ascii="宋体" w:hAnsi="宋体"/>
          <w:szCs w:val="21"/>
        </w:rPr>
        <w:t>评审结果按评审后得分由高到低顺序排列。评审结果按评审后得分由高到低顺序排列。得分相同的，按磋商报价由低到高顺序排列。得分且磋商报价相同的，以技术得分高的为成交供应商。磋商响应文件满足磋商文件全部实质性要求，且按照评审因素的量化指标评审得分最高的供应商为排名第一的成交候选人。</w:t>
      </w:r>
    </w:p>
    <w:p>
      <w:pPr>
        <w:snapToGrid w:val="0"/>
        <w:spacing w:line="360" w:lineRule="exact"/>
        <w:ind w:firstLine="422" w:firstLineChars="200"/>
        <w:rPr>
          <w:rFonts w:ascii="宋体" w:hAnsi="宋体"/>
          <w:b/>
          <w:szCs w:val="21"/>
        </w:rPr>
      </w:pPr>
      <w:r>
        <w:rPr>
          <w:rFonts w:hint="eastAsia" w:ascii="宋体" w:hAnsi="宋体"/>
          <w:b/>
          <w:szCs w:val="21"/>
        </w:rPr>
        <w:t>二、</w:t>
      </w:r>
      <w:r>
        <w:rPr>
          <w:rFonts w:ascii="宋体" w:hAnsi="宋体"/>
          <w:b/>
          <w:szCs w:val="21"/>
        </w:rPr>
        <w:t>评分细则</w:t>
      </w:r>
    </w:p>
    <w:tbl>
      <w:tblPr>
        <w:tblStyle w:val="44"/>
        <w:tblW w:w="837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5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widowControl/>
              <w:adjustRightInd w:val="0"/>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rPr>
              <w:t>评审因素</w:t>
            </w:r>
          </w:p>
        </w:tc>
        <w:tc>
          <w:tcPr>
            <w:tcW w:w="752" w:type="dxa"/>
            <w:noWrap w:val="0"/>
            <w:vAlign w:val="center"/>
          </w:tcPr>
          <w:p>
            <w:pPr>
              <w:widowControl/>
              <w:adjustRightInd w:val="0"/>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rPr>
              <w:t>分值</w:t>
            </w:r>
          </w:p>
        </w:tc>
        <w:tc>
          <w:tcPr>
            <w:tcW w:w="6088" w:type="dxa"/>
            <w:noWrap w:val="0"/>
            <w:vAlign w:val="center"/>
          </w:tcPr>
          <w:p>
            <w:pPr>
              <w:widowControl/>
              <w:adjustRightInd w:val="0"/>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530" w:type="dxa"/>
            <w:noWrap w:val="0"/>
            <w:vAlign w:val="center"/>
          </w:tcPr>
          <w:p>
            <w:pPr>
              <w:widowControl/>
              <w:adjustRightInd w:val="0"/>
              <w:snapToGrid w:val="0"/>
              <w:spacing w:line="360" w:lineRule="exact"/>
              <w:jc w:val="center"/>
              <w:rPr>
                <w:rFonts w:hint="eastAsia" w:ascii="宋体" w:hAnsi="宋体" w:cs="宋体"/>
                <w:color w:val="000000"/>
                <w:szCs w:val="21"/>
              </w:rPr>
            </w:pPr>
            <w:r>
              <w:rPr>
                <w:rFonts w:hint="eastAsia" w:ascii="宋体" w:hAnsi="宋体" w:cs="宋体"/>
                <w:color w:val="000000"/>
                <w:szCs w:val="21"/>
              </w:rPr>
              <w:t>价格分</w:t>
            </w:r>
          </w:p>
        </w:tc>
        <w:tc>
          <w:tcPr>
            <w:tcW w:w="752" w:type="dxa"/>
            <w:noWrap w:val="0"/>
            <w:vAlign w:val="center"/>
          </w:tcPr>
          <w:p>
            <w:pPr>
              <w:widowControl/>
              <w:adjustRightInd w:val="0"/>
              <w:snapToGrid w:val="0"/>
              <w:spacing w:line="360" w:lineRule="exact"/>
              <w:jc w:val="center"/>
              <w:rPr>
                <w:rFonts w:hint="eastAsia" w:ascii="宋体" w:hAnsi="宋体" w:cs="宋体"/>
                <w:color w:val="000000"/>
                <w:szCs w:val="21"/>
              </w:rPr>
            </w:pPr>
            <w:r>
              <w:rPr>
                <w:rFonts w:hint="eastAsia" w:ascii="宋体" w:hAnsi="宋体" w:cs="宋体"/>
                <w:color w:val="000000"/>
                <w:szCs w:val="21"/>
              </w:rPr>
              <w:t>30</w:t>
            </w:r>
          </w:p>
        </w:tc>
        <w:tc>
          <w:tcPr>
            <w:tcW w:w="6088" w:type="dxa"/>
            <w:noWrap w:val="0"/>
            <w:vAlign w:val="center"/>
          </w:tcPr>
          <w:p>
            <w:pPr>
              <w:adjustRightInd w:val="0"/>
              <w:snapToGrid w:val="0"/>
              <w:spacing w:line="360" w:lineRule="exact"/>
              <w:rPr>
                <w:rFonts w:hint="eastAsia" w:ascii="宋体" w:hAnsi="宋体" w:cs="宋体"/>
                <w:szCs w:val="21"/>
              </w:rPr>
            </w:pPr>
            <w:r>
              <w:rPr>
                <w:rFonts w:hint="eastAsia" w:ascii="宋体" w:hAnsi="宋体" w:cs="宋体"/>
                <w:szCs w:val="21"/>
              </w:rPr>
              <w:t>价格分采用低价优先法计算，即满足招标文件要求且投标价格最低的投标报价为评标基准价，其价格分为满分。其他投标人的价格分统一按照下列公式计算（计算结果四舍五入保留两位小数）：</w:t>
            </w:r>
          </w:p>
          <w:p>
            <w:pPr>
              <w:adjustRightInd w:val="0"/>
              <w:snapToGrid w:val="0"/>
              <w:spacing w:line="360" w:lineRule="exact"/>
              <w:ind w:firstLine="420" w:firstLineChars="200"/>
              <w:rPr>
                <w:rFonts w:hint="eastAsia" w:ascii="宋体" w:hAnsi="宋体" w:cs="宋体"/>
                <w:bCs/>
                <w:szCs w:val="21"/>
                <w:u w:val="single"/>
              </w:rPr>
            </w:pPr>
            <w:r>
              <w:rPr>
                <w:rFonts w:hint="eastAsia" w:ascii="宋体" w:hAnsi="宋体" w:cs="宋体"/>
                <w:szCs w:val="21"/>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1530"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技术部分</w:t>
            </w:r>
          </w:p>
        </w:tc>
        <w:tc>
          <w:tcPr>
            <w:tcW w:w="752"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30</w:t>
            </w:r>
          </w:p>
        </w:tc>
        <w:tc>
          <w:tcPr>
            <w:tcW w:w="6088" w:type="dxa"/>
            <w:noWrap w:val="0"/>
            <w:vAlign w:val="center"/>
          </w:tcPr>
          <w:p>
            <w:pPr>
              <w:tabs>
                <w:tab w:val="left" w:pos="3629"/>
              </w:tabs>
              <w:spacing w:line="360" w:lineRule="auto"/>
              <w:rPr>
                <w:rFonts w:hint="eastAsia" w:ascii="宋体" w:hAnsi="宋体" w:cs="宋体"/>
                <w:szCs w:val="21"/>
              </w:rPr>
            </w:pPr>
            <w:r>
              <w:rPr>
                <w:rFonts w:hint="eastAsia" w:ascii="宋体" w:hAnsi="宋体" w:cs="宋体"/>
                <w:kern w:val="0"/>
                <w:szCs w:val="21"/>
              </w:rPr>
              <w:t>供应商所投产品技术参数完全满足招标文件要求得30分，其中加★项为关键技术参数，有一项不满足扣3分，其他参数有一项不满足扣1分，扣完为止。</w:t>
            </w:r>
            <w:r>
              <w:rPr>
                <w:rFonts w:hint="eastAsia" w:ascii="宋体" w:hAnsi="宋体" w:cs="宋体"/>
                <w:b/>
                <w:bCs/>
                <w:kern w:val="0"/>
                <w:szCs w:val="21"/>
              </w:rPr>
              <w:t>提供能够在第三章技术参数及功能要求中例举的体现智能体质监测一体机产品功能的产品检测报告。若发现有提供虚假的证明材料或虚假应答技术偏离表的，视为无效响应，上报采购监管部门并追究相关责任。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商务部分</w:t>
            </w:r>
          </w:p>
        </w:tc>
        <w:tc>
          <w:tcPr>
            <w:tcW w:w="752" w:type="dxa"/>
            <w:noWrap w:val="0"/>
            <w:vAlign w:val="center"/>
          </w:tcPr>
          <w:p>
            <w:pPr>
              <w:tabs>
                <w:tab w:val="left" w:pos="3629"/>
              </w:tabs>
              <w:spacing w:line="360" w:lineRule="auto"/>
              <w:jc w:val="center"/>
              <w:rPr>
                <w:rFonts w:hint="eastAsia" w:ascii="宋体" w:hAnsi="宋体" w:cs="宋体"/>
                <w:color w:val="FF0000"/>
                <w:szCs w:val="21"/>
              </w:rPr>
            </w:pPr>
            <w:r>
              <w:rPr>
                <w:rFonts w:ascii="宋体" w:hAnsi="宋体" w:cs="宋体"/>
                <w:szCs w:val="21"/>
              </w:rPr>
              <w:t>4</w:t>
            </w:r>
          </w:p>
        </w:tc>
        <w:tc>
          <w:tcPr>
            <w:tcW w:w="6088" w:type="dxa"/>
            <w:noWrap w:val="0"/>
            <w:vAlign w:val="center"/>
          </w:tcPr>
          <w:p>
            <w:pPr>
              <w:tabs>
                <w:tab w:val="left" w:pos="3629"/>
              </w:tabs>
              <w:spacing w:line="360" w:lineRule="auto"/>
              <w:rPr>
                <w:rFonts w:hint="eastAsia" w:ascii="宋体" w:hAnsi="宋体" w:cs="宋体"/>
                <w:szCs w:val="21"/>
              </w:rPr>
            </w:pPr>
            <w:r>
              <w:rPr>
                <w:rFonts w:hint="eastAsia" w:ascii="宋体" w:hAnsi="宋体" w:cs="宋体"/>
                <w:szCs w:val="21"/>
              </w:rPr>
              <w:t>供应商或所投</w:t>
            </w:r>
            <w:r>
              <w:rPr>
                <w:rFonts w:hint="eastAsia" w:ascii="宋体" w:hAnsi="宋体" w:cs="宋体"/>
                <w:color w:val="000000"/>
                <w:szCs w:val="21"/>
              </w:rPr>
              <w:t>产品</w:t>
            </w:r>
            <w:r>
              <w:rPr>
                <w:rFonts w:hint="eastAsia" w:ascii="宋体" w:hAnsi="宋体" w:cs="宋体"/>
                <w:szCs w:val="21"/>
              </w:rPr>
              <w:t>制造商自2019年1月1日以来具有类似项目业绩，每提供1项得2分，满分</w:t>
            </w:r>
            <w:r>
              <w:rPr>
                <w:rFonts w:ascii="宋体" w:hAnsi="宋体" w:cs="宋体"/>
                <w:szCs w:val="21"/>
              </w:rPr>
              <w:t>4</w:t>
            </w:r>
            <w:r>
              <w:rPr>
                <w:rFonts w:hint="eastAsia" w:ascii="宋体" w:hAnsi="宋体" w:cs="宋体"/>
                <w:szCs w:val="21"/>
              </w:rPr>
              <w:t>分。【以合同签订时间为准，提供合同复印件加盖投标人公章或</w:t>
            </w:r>
            <w:r>
              <w:rPr>
                <w:rFonts w:hint="eastAsia" w:ascii="宋体" w:hAnsi="宋体" w:cs="宋体"/>
                <w:b/>
                <w:bCs/>
                <w:kern w:val="0"/>
                <w:szCs w:val="21"/>
              </w:rPr>
              <w:t>中标（成交）通知书并提供开具相关发票复印件加盖投标人公章</w:t>
            </w:r>
            <w:r>
              <w:rPr>
                <w:rFonts w:hint="eastAsia" w:ascii="宋体" w:hAnsi="宋体" w:cs="宋体"/>
                <w:szCs w:val="21"/>
              </w:rPr>
              <w:t>，未按要求提供证明材料的，不视为有效业绩】。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1530" w:type="dxa"/>
            <w:vMerge w:val="continue"/>
            <w:noWrap w:val="0"/>
            <w:vAlign w:val="center"/>
          </w:tcPr>
          <w:p>
            <w:pPr>
              <w:widowControl/>
              <w:adjustRightInd w:val="0"/>
              <w:snapToGrid w:val="0"/>
              <w:spacing w:line="360" w:lineRule="exact"/>
              <w:jc w:val="center"/>
              <w:rPr>
                <w:rFonts w:hint="eastAsia" w:ascii="宋体" w:hAnsi="宋体" w:cs="宋体"/>
                <w:color w:val="000000"/>
                <w:szCs w:val="21"/>
              </w:rPr>
            </w:pPr>
          </w:p>
        </w:tc>
        <w:tc>
          <w:tcPr>
            <w:tcW w:w="752"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3</w:t>
            </w:r>
          </w:p>
        </w:tc>
        <w:tc>
          <w:tcPr>
            <w:tcW w:w="6088" w:type="dxa"/>
            <w:noWrap w:val="0"/>
            <w:vAlign w:val="center"/>
          </w:tcPr>
          <w:p>
            <w:pPr>
              <w:tabs>
                <w:tab w:val="left" w:pos="3629"/>
              </w:tabs>
              <w:spacing w:line="360" w:lineRule="auto"/>
              <w:rPr>
                <w:rFonts w:hint="eastAsia" w:ascii="宋体" w:hAnsi="宋体" w:cs="宋体"/>
                <w:color w:val="000000"/>
                <w:szCs w:val="21"/>
              </w:rPr>
            </w:pPr>
            <w:r>
              <w:rPr>
                <w:rFonts w:hint="eastAsia" w:ascii="宋体" w:hAnsi="宋体" w:cs="宋体"/>
                <w:color w:val="000000"/>
                <w:szCs w:val="21"/>
              </w:rPr>
              <w:t>所投产品获得相关的专利证书，每提供1项得1分，满分3分。</w:t>
            </w:r>
            <w:r>
              <w:rPr>
                <w:rFonts w:hint="eastAsia" w:ascii="宋体" w:hAnsi="宋体" w:cs="宋体"/>
                <w:b/>
                <w:szCs w:val="21"/>
              </w:rPr>
              <w:t>响应文件中提供证书复印件加盖公章，并携带原件核查，否则不得分；若相关证书需国家部门认证的证书并可在官方网站上查询到有效性等信息的，则无须提供原件。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演示</w:t>
            </w:r>
          </w:p>
        </w:tc>
        <w:tc>
          <w:tcPr>
            <w:tcW w:w="752"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9</w:t>
            </w:r>
          </w:p>
        </w:tc>
        <w:tc>
          <w:tcPr>
            <w:tcW w:w="6088" w:type="dxa"/>
            <w:noWrap w:val="0"/>
            <w:vAlign w:val="center"/>
          </w:tcPr>
          <w:p>
            <w:pPr>
              <w:tabs>
                <w:tab w:val="left" w:pos="3629"/>
              </w:tabs>
              <w:spacing w:line="360" w:lineRule="auto"/>
              <w:rPr>
                <w:rFonts w:hint="eastAsia" w:ascii="宋体" w:hAnsi="宋体" w:cs="宋体"/>
                <w:szCs w:val="21"/>
              </w:rPr>
            </w:pPr>
            <w:r>
              <w:rPr>
                <w:rFonts w:hint="eastAsia" w:ascii="宋体" w:hAnsi="宋体" w:cs="宋体"/>
                <w:szCs w:val="21"/>
              </w:rPr>
              <w:t>供应商提供</w:t>
            </w:r>
            <w:r>
              <w:rPr>
                <w:rFonts w:hint="eastAsia" w:ascii="宋体" w:hAnsi="宋体" w:cs="宋体"/>
                <w:color w:val="000000"/>
                <w:szCs w:val="21"/>
              </w:rPr>
              <w:t>产品</w:t>
            </w:r>
            <w:r>
              <w:rPr>
                <w:rFonts w:hint="eastAsia" w:ascii="宋体" w:hAnsi="宋体" w:cs="宋体"/>
                <w:szCs w:val="21"/>
              </w:rPr>
              <w:t>视频进行产品效果演示（视频放在投标响应文件u盘中，随投标响应文件一同密封提交），视频时长不超过10分钟。</w:t>
            </w:r>
          </w:p>
          <w:p>
            <w:pPr>
              <w:tabs>
                <w:tab w:val="left" w:pos="3629"/>
              </w:tabs>
              <w:spacing w:line="360" w:lineRule="auto"/>
              <w:rPr>
                <w:rFonts w:hint="eastAsia" w:ascii="宋体" w:hAnsi="宋体" w:cs="宋体"/>
                <w:szCs w:val="21"/>
              </w:rPr>
            </w:pPr>
            <w:r>
              <w:rPr>
                <w:rFonts w:hint="eastAsia" w:ascii="宋体" w:hAnsi="宋体" w:cs="宋体"/>
                <w:szCs w:val="21"/>
              </w:rPr>
              <w:t>评标委员会按各供应商的演示效果进行比较，产品配置高，演示效果好，运行流畅，完全满足需求，功能展示直观，得9分；</w:t>
            </w:r>
          </w:p>
          <w:p>
            <w:pPr>
              <w:tabs>
                <w:tab w:val="left" w:pos="3629"/>
              </w:tabs>
              <w:spacing w:line="360" w:lineRule="auto"/>
              <w:rPr>
                <w:rFonts w:hint="eastAsia" w:ascii="宋体" w:hAnsi="宋体" w:cs="宋体"/>
                <w:szCs w:val="21"/>
              </w:rPr>
            </w:pPr>
            <w:r>
              <w:rPr>
                <w:rFonts w:hint="eastAsia" w:ascii="宋体" w:hAnsi="宋体" w:cs="宋体"/>
                <w:szCs w:val="21"/>
              </w:rPr>
              <w:t>产品配置较好，技术参数基本满足招标文件需求，演示效果较为流畅得5分；</w:t>
            </w:r>
          </w:p>
          <w:p>
            <w:pPr>
              <w:tabs>
                <w:tab w:val="left" w:pos="3629"/>
              </w:tabs>
              <w:spacing w:line="360" w:lineRule="auto"/>
              <w:rPr>
                <w:rFonts w:hint="eastAsia" w:ascii="宋体" w:hAnsi="宋体" w:cs="宋体"/>
                <w:szCs w:val="21"/>
              </w:rPr>
            </w:pPr>
            <w:r>
              <w:rPr>
                <w:rFonts w:hint="eastAsia" w:ascii="宋体" w:hAnsi="宋体" w:cs="宋体"/>
                <w:szCs w:val="21"/>
              </w:rPr>
              <w:t>产品配置较低、技术参数存在欠缺，演示效果卡顿得3分；</w:t>
            </w:r>
          </w:p>
          <w:p>
            <w:pPr>
              <w:tabs>
                <w:tab w:val="left" w:pos="3629"/>
              </w:tabs>
              <w:spacing w:line="360" w:lineRule="auto"/>
              <w:rPr>
                <w:rFonts w:hint="eastAsia" w:ascii="宋体" w:hAnsi="宋体" w:cs="宋体"/>
                <w:szCs w:val="21"/>
              </w:rPr>
            </w:pPr>
            <w:r>
              <w:rPr>
                <w:rFonts w:hint="eastAsia" w:ascii="宋体" w:hAnsi="宋体" w:cs="宋体"/>
                <w:szCs w:val="21"/>
              </w:rPr>
              <w:t>配置差、技术参数不能满足招标文件需求，演示较差得1分；</w:t>
            </w:r>
          </w:p>
          <w:p>
            <w:pPr>
              <w:tabs>
                <w:tab w:val="left" w:pos="3629"/>
              </w:tabs>
              <w:spacing w:line="360" w:lineRule="auto"/>
              <w:rPr>
                <w:rFonts w:hint="eastAsia" w:ascii="宋体" w:hAnsi="宋体" w:cs="宋体"/>
                <w:szCs w:val="21"/>
              </w:rPr>
            </w:pPr>
            <w:r>
              <w:rPr>
                <w:rFonts w:hint="eastAsia" w:ascii="宋体" w:hAnsi="宋体" w:cs="宋体"/>
                <w:szCs w:val="21"/>
              </w:rPr>
              <w:t>不提供视频不得分。</w:t>
            </w:r>
          </w:p>
          <w:p>
            <w:pPr>
              <w:tabs>
                <w:tab w:val="left" w:pos="3629"/>
              </w:tabs>
              <w:spacing w:line="360" w:lineRule="auto"/>
              <w:rPr>
                <w:rFonts w:hint="eastAsia" w:ascii="宋体" w:hAnsi="宋体" w:cs="宋体"/>
                <w:szCs w:val="21"/>
              </w:rPr>
            </w:pPr>
            <w:r>
              <w:rPr>
                <w:rFonts w:hint="eastAsia" w:ascii="宋体" w:hAnsi="宋体" w:cs="宋体"/>
                <w:b/>
                <w:bCs/>
                <w:szCs w:val="21"/>
              </w:rPr>
              <w:t>注：视频拍摄的产品，品牌、型号须与本次投标提供的产品一致，否则视为虚假响应，追究其相关法律责任。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实施方案</w:t>
            </w:r>
          </w:p>
        </w:tc>
        <w:tc>
          <w:tcPr>
            <w:tcW w:w="752"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15</w:t>
            </w:r>
          </w:p>
        </w:tc>
        <w:tc>
          <w:tcPr>
            <w:tcW w:w="6088" w:type="dxa"/>
            <w:noWrap w:val="0"/>
            <w:vAlign w:val="center"/>
          </w:tcPr>
          <w:p>
            <w:pPr>
              <w:tabs>
                <w:tab w:val="left" w:pos="3629"/>
              </w:tabs>
              <w:spacing w:line="360" w:lineRule="auto"/>
              <w:rPr>
                <w:rFonts w:hint="eastAsia" w:ascii="宋体" w:hAnsi="宋体" w:cs="宋体"/>
                <w:szCs w:val="21"/>
              </w:rPr>
            </w:pPr>
            <w:r>
              <w:rPr>
                <w:rFonts w:hint="eastAsia" w:ascii="宋体" w:hAnsi="宋体" w:cs="宋体"/>
                <w:szCs w:val="21"/>
              </w:rPr>
              <w:t>1、供应商提供制造商针对本项目的售后服务承诺函，满分3分。（提供原厂质保函原件加盖厂家公章）</w:t>
            </w:r>
          </w:p>
          <w:p>
            <w:pPr>
              <w:tabs>
                <w:tab w:val="left" w:pos="3629"/>
              </w:tabs>
              <w:spacing w:line="360" w:lineRule="auto"/>
              <w:rPr>
                <w:rFonts w:hint="eastAsia" w:ascii="宋体" w:hAnsi="宋体" w:cs="宋体"/>
                <w:szCs w:val="21"/>
              </w:rPr>
            </w:pPr>
            <w:r>
              <w:rPr>
                <w:rFonts w:hint="eastAsia" w:ascii="宋体" w:hAnsi="宋体" w:cs="宋体"/>
                <w:szCs w:val="21"/>
              </w:rPr>
              <w:t>2、根据供应商提供的针对本项目的具体实施及安装方案进行评分：</w:t>
            </w:r>
          </w:p>
          <w:p>
            <w:pPr>
              <w:tabs>
                <w:tab w:val="left" w:pos="3629"/>
              </w:tabs>
              <w:spacing w:line="360" w:lineRule="auto"/>
              <w:rPr>
                <w:rFonts w:hint="eastAsia" w:ascii="宋体" w:hAnsi="宋体" w:cs="宋体"/>
                <w:szCs w:val="21"/>
              </w:rPr>
            </w:pPr>
            <w:r>
              <w:rPr>
                <w:rFonts w:hint="eastAsia" w:ascii="宋体" w:hAnsi="宋体" w:cs="宋体"/>
                <w:szCs w:val="21"/>
              </w:rPr>
              <w:t>实施及安装方案合理，描述详细且具有针对性，符合采购人实际情况的得4分；</w:t>
            </w:r>
          </w:p>
          <w:p>
            <w:pPr>
              <w:tabs>
                <w:tab w:val="left" w:pos="3629"/>
              </w:tabs>
              <w:spacing w:line="360" w:lineRule="auto"/>
              <w:rPr>
                <w:rFonts w:hint="eastAsia" w:ascii="宋体" w:hAnsi="宋体" w:cs="宋体"/>
                <w:szCs w:val="21"/>
              </w:rPr>
            </w:pPr>
            <w:r>
              <w:rPr>
                <w:rFonts w:hint="eastAsia" w:ascii="宋体" w:hAnsi="宋体" w:cs="宋体"/>
                <w:szCs w:val="21"/>
              </w:rPr>
              <w:t>实施及安装方案基本合理、描述一般、思路存在可操作性，与用户需求贴合度较高得2分；</w:t>
            </w:r>
          </w:p>
          <w:p>
            <w:pPr>
              <w:tabs>
                <w:tab w:val="left" w:pos="3629"/>
              </w:tabs>
              <w:spacing w:line="360" w:lineRule="auto"/>
              <w:rPr>
                <w:rFonts w:hint="eastAsia" w:ascii="宋体" w:hAnsi="宋体" w:cs="宋体"/>
                <w:szCs w:val="21"/>
              </w:rPr>
            </w:pPr>
            <w:r>
              <w:rPr>
                <w:rFonts w:hint="eastAsia" w:ascii="宋体" w:hAnsi="宋体" w:cs="宋体"/>
                <w:szCs w:val="21"/>
              </w:rPr>
              <w:t>实施及安装方案具有不合理项、描述欠缺、实际操作存在难度，不符合用户实际需求得1分；不提供不得分。</w:t>
            </w:r>
          </w:p>
          <w:p>
            <w:pPr>
              <w:tabs>
                <w:tab w:val="left" w:pos="3629"/>
              </w:tabs>
              <w:spacing w:line="360" w:lineRule="auto"/>
              <w:rPr>
                <w:rFonts w:hint="eastAsia" w:ascii="宋体" w:hAnsi="宋体" w:cs="宋体"/>
                <w:szCs w:val="21"/>
              </w:rPr>
            </w:pPr>
            <w:r>
              <w:rPr>
                <w:rFonts w:hint="eastAsia" w:ascii="宋体" w:hAnsi="宋体" w:cs="宋体"/>
                <w:szCs w:val="21"/>
              </w:rPr>
              <w:t>3、根据供应商提供的针对本项目的使用培训及应急措施方案，</w:t>
            </w:r>
          </w:p>
          <w:p>
            <w:pPr>
              <w:tabs>
                <w:tab w:val="left" w:pos="3629"/>
              </w:tabs>
              <w:spacing w:line="360" w:lineRule="auto"/>
              <w:rPr>
                <w:rFonts w:hint="eastAsia" w:ascii="宋体" w:hAnsi="宋体" w:cs="宋体"/>
                <w:szCs w:val="21"/>
              </w:rPr>
            </w:pPr>
            <w:r>
              <w:rPr>
                <w:rFonts w:hint="eastAsia" w:ascii="宋体" w:hAnsi="宋体" w:cs="宋体"/>
                <w:szCs w:val="21"/>
              </w:rPr>
              <w:t>培训及应急方案科学、合理，描述详细且具有针对性的得4分，</w:t>
            </w:r>
          </w:p>
          <w:p>
            <w:pPr>
              <w:tabs>
                <w:tab w:val="left" w:pos="3629"/>
              </w:tabs>
              <w:spacing w:line="360" w:lineRule="auto"/>
              <w:rPr>
                <w:rFonts w:hint="eastAsia" w:ascii="宋体" w:hAnsi="宋体" w:cs="宋体"/>
                <w:szCs w:val="21"/>
              </w:rPr>
            </w:pPr>
            <w:r>
              <w:rPr>
                <w:rFonts w:hint="eastAsia" w:ascii="宋体" w:hAnsi="宋体" w:cs="宋体"/>
                <w:szCs w:val="21"/>
              </w:rPr>
              <w:t>培训及应急方案基本合理、描述一般、思路存在可操作性，与用户需求贴合度较高得2分；</w:t>
            </w:r>
          </w:p>
          <w:p>
            <w:pPr>
              <w:tabs>
                <w:tab w:val="left" w:pos="3629"/>
              </w:tabs>
              <w:spacing w:line="360" w:lineRule="auto"/>
              <w:rPr>
                <w:rFonts w:hint="eastAsia" w:ascii="宋体" w:hAnsi="宋体" w:cs="宋体"/>
                <w:szCs w:val="21"/>
              </w:rPr>
            </w:pPr>
            <w:r>
              <w:rPr>
                <w:rFonts w:hint="eastAsia" w:ascii="宋体" w:hAnsi="宋体" w:cs="宋体"/>
                <w:szCs w:val="21"/>
              </w:rPr>
              <w:t>培训及应急方案具有不合理项、描述欠缺、实际操作存在难度，不符合用户实际需求得1分；不提供不得分。</w:t>
            </w:r>
          </w:p>
          <w:p>
            <w:pPr>
              <w:tabs>
                <w:tab w:val="left" w:pos="3629"/>
              </w:tabs>
              <w:spacing w:line="360" w:lineRule="auto"/>
              <w:rPr>
                <w:rFonts w:hint="eastAsia" w:ascii="宋体" w:hAnsi="宋体" w:cs="宋体"/>
                <w:szCs w:val="21"/>
              </w:rPr>
            </w:pPr>
            <w:r>
              <w:rPr>
                <w:rFonts w:hint="eastAsia" w:ascii="宋体" w:hAnsi="宋体" w:cs="宋体"/>
                <w:szCs w:val="21"/>
              </w:rPr>
              <w:t>4、根据供应商提供的针对本项目的售后服务方案，包括但不限于售后服务情况、售后服务措施包含质保期内备品备件清单，质保期外服务及其他原厂零配件、备品备件价格等优惠承诺等内容：</w:t>
            </w:r>
          </w:p>
          <w:p>
            <w:pPr>
              <w:tabs>
                <w:tab w:val="left" w:pos="3629"/>
              </w:tabs>
              <w:spacing w:line="360" w:lineRule="auto"/>
              <w:rPr>
                <w:rFonts w:hint="eastAsia" w:ascii="宋体" w:hAnsi="宋体" w:cs="宋体"/>
                <w:szCs w:val="21"/>
              </w:rPr>
            </w:pPr>
            <w:r>
              <w:rPr>
                <w:rFonts w:hint="eastAsia" w:ascii="宋体" w:hAnsi="宋体" w:cs="宋体"/>
                <w:szCs w:val="21"/>
              </w:rPr>
              <w:t>售后方案科学、合理，描述详细且具有针对性的得4分，</w:t>
            </w:r>
          </w:p>
          <w:p>
            <w:pPr>
              <w:tabs>
                <w:tab w:val="left" w:pos="3629"/>
              </w:tabs>
              <w:spacing w:line="360" w:lineRule="auto"/>
              <w:rPr>
                <w:rFonts w:hint="eastAsia" w:ascii="宋体" w:hAnsi="宋体" w:cs="宋体"/>
                <w:szCs w:val="21"/>
              </w:rPr>
            </w:pPr>
            <w:r>
              <w:rPr>
                <w:rFonts w:hint="eastAsia" w:ascii="宋体" w:hAnsi="宋体" w:cs="宋体"/>
                <w:szCs w:val="21"/>
              </w:rPr>
              <w:t>售后方案基本合理、描述一般、思路存在可操作性，与用户需求贴合度较高得2分；</w:t>
            </w:r>
          </w:p>
          <w:p>
            <w:pPr>
              <w:tabs>
                <w:tab w:val="left" w:pos="3629"/>
              </w:tabs>
              <w:spacing w:line="360" w:lineRule="auto"/>
              <w:rPr>
                <w:rFonts w:hint="eastAsia" w:ascii="宋体" w:hAnsi="宋体" w:cs="宋体"/>
                <w:szCs w:val="21"/>
              </w:rPr>
            </w:pPr>
            <w:r>
              <w:rPr>
                <w:rFonts w:hint="eastAsia" w:ascii="宋体" w:hAnsi="宋体" w:cs="宋体"/>
                <w:color w:val="000000"/>
                <w:szCs w:val="21"/>
              </w:rPr>
              <w:t>售后方案具有不合理项、描述欠缺、实际操作存在难度，不符合用户实际需求得1分；不提供不得分。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tabs>
                <w:tab w:val="left" w:pos="3629"/>
              </w:tabs>
              <w:spacing w:line="360" w:lineRule="auto"/>
              <w:jc w:val="center"/>
              <w:rPr>
                <w:rFonts w:hint="eastAsia" w:ascii="宋体" w:hAnsi="宋体" w:cs="宋体"/>
                <w:szCs w:val="21"/>
              </w:rPr>
            </w:pPr>
            <w:r>
              <w:rPr>
                <w:rFonts w:hint="eastAsia" w:ascii="宋体" w:hAnsi="宋体" w:cs="宋体"/>
                <w:szCs w:val="21"/>
              </w:rPr>
              <w:t>价格合理性分析</w:t>
            </w:r>
          </w:p>
        </w:tc>
        <w:tc>
          <w:tcPr>
            <w:tcW w:w="752" w:type="dxa"/>
            <w:noWrap w:val="0"/>
            <w:vAlign w:val="center"/>
          </w:tcPr>
          <w:p>
            <w:pPr>
              <w:tabs>
                <w:tab w:val="left" w:pos="3629"/>
              </w:tabs>
              <w:spacing w:line="360" w:lineRule="auto"/>
              <w:jc w:val="center"/>
              <w:rPr>
                <w:rFonts w:hint="eastAsia" w:ascii="宋体" w:hAnsi="宋体" w:cs="宋体"/>
                <w:szCs w:val="21"/>
              </w:rPr>
            </w:pPr>
            <w:r>
              <w:rPr>
                <w:rFonts w:ascii="宋体" w:hAnsi="宋体" w:cs="宋体"/>
                <w:szCs w:val="21"/>
              </w:rPr>
              <w:t>9</w:t>
            </w:r>
          </w:p>
        </w:tc>
        <w:tc>
          <w:tcPr>
            <w:tcW w:w="6088" w:type="dxa"/>
            <w:noWrap w:val="0"/>
            <w:vAlign w:val="center"/>
          </w:tcPr>
          <w:p>
            <w:pPr>
              <w:tabs>
                <w:tab w:val="left" w:pos="3629"/>
              </w:tabs>
              <w:spacing w:line="360" w:lineRule="auto"/>
              <w:rPr>
                <w:rFonts w:hint="eastAsia" w:ascii="宋体" w:hAnsi="宋体" w:cs="宋体"/>
                <w:szCs w:val="21"/>
              </w:rPr>
            </w:pPr>
            <w:r>
              <w:rPr>
                <w:rFonts w:hint="eastAsia" w:ascii="宋体" w:hAnsi="宋体" w:cs="宋体"/>
                <w:szCs w:val="21"/>
              </w:rPr>
              <w:t>1、国民体质监测一体机免费质量保证期，提供一体机价格、安装调试费、使用期间维护、巡检、维修费、废弃处置等全生命周期成本明细报价，评委根据报价明细，与总报价进行合理性分析比较，最合理得</w:t>
            </w:r>
            <w:r>
              <w:rPr>
                <w:rFonts w:ascii="宋体" w:hAnsi="宋体" w:cs="宋体"/>
                <w:szCs w:val="21"/>
              </w:rPr>
              <w:t>4</w:t>
            </w:r>
            <w:r>
              <w:rPr>
                <w:rFonts w:hint="eastAsia" w:ascii="宋体" w:hAnsi="宋体" w:cs="宋体"/>
                <w:szCs w:val="21"/>
              </w:rPr>
              <w:t>分，比较合理得</w:t>
            </w:r>
            <w:r>
              <w:rPr>
                <w:rFonts w:ascii="宋体" w:hAnsi="宋体" w:cs="宋体"/>
                <w:szCs w:val="21"/>
              </w:rPr>
              <w:t>2</w:t>
            </w:r>
            <w:r>
              <w:rPr>
                <w:rFonts w:hint="eastAsia" w:ascii="宋体" w:hAnsi="宋体" w:cs="宋体"/>
                <w:szCs w:val="21"/>
              </w:rPr>
              <w:t>分，不合理和不提供不得分。</w:t>
            </w:r>
          </w:p>
          <w:p>
            <w:pPr>
              <w:tabs>
                <w:tab w:val="left" w:pos="3629"/>
              </w:tabs>
              <w:spacing w:line="360" w:lineRule="auto"/>
              <w:rPr>
                <w:rFonts w:hint="eastAsia" w:ascii="宋体" w:hAnsi="宋体" w:cs="宋体"/>
                <w:szCs w:val="21"/>
              </w:rPr>
            </w:pPr>
            <w:r>
              <w:rPr>
                <w:rFonts w:hint="eastAsia" w:ascii="宋体" w:hAnsi="宋体" w:cs="宋体"/>
                <w:szCs w:val="21"/>
              </w:rPr>
              <w:t>2、投标人总报价与所有合格投标人总报价的平均值合理性分析，根据A值（所有投标人的投标报价平均值）作为评标依据，投标报价低于A值1%的扣1分，最多扣</w:t>
            </w:r>
            <w:r>
              <w:rPr>
                <w:rFonts w:ascii="宋体" w:hAnsi="宋体" w:cs="宋体"/>
                <w:szCs w:val="21"/>
              </w:rPr>
              <w:t>5</w:t>
            </w:r>
            <w:r>
              <w:rPr>
                <w:rFonts w:hint="eastAsia" w:ascii="宋体" w:hAnsi="宋体" w:cs="宋体"/>
                <w:szCs w:val="21"/>
              </w:rPr>
              <w:t>分。</w:t>
            </w:r>
          </w:p>
        </w:tc>
      </w:tr>
    </w:tbl>
    <w:p>
      <w:pPr>
        <w:spacing w:line="360" w:lineRule="exact"/>
        <w:ind w:firstLine="420" w:firstLineChars="200"/>
        <w:rPr>
          <w:rFonts w:ascii="宋体" w:hAnsi="宋体"/>
          <w:szCs w:val="21"/>
        </w:rPr>
      </w:pPr>
    </w:p>
    <w:p>
      <w:pPr>
        <w:tabs>
          <w:tab w:val="left" w:pos="5940"/>
        </w:tabs>
        <w:adjustRightInd w:val="0"/>
        <w:snapToGrid w:val="0"/>
        <w:spacing w:line="360" w:lineRule="auto"/>
        <w:jc w:val="left"/>
        <w:rPr>
          <w:rFonts w:hint="eastAsia" w:ascii="宋体" w:hAnsi="宋体" w:eastAsia="宋体" w:cs="宋体"/>
          <w:bCs/>
          <w:sz w:val="21"/>
          <w:szCs w:val="21"/>
        </w:rPr>
      </w:pPr>
      <w:r>
        <w:rPr>
          <w:rFonts w:hint="eastAsia" w:ascii="宋体" w:hAnsi="宋体" w:eastAsia="宋体" w:cs="宋体"/>
          <w:b/>
          <w:bCs w:val="0"/>
          <w:sz w:val="21"/>
          <w:szCs w:val="21"/>
        </w:rPr>
        <w:t>注：</w:t>
      </w:r>
      <w:r>
        <w:rPr>
          <w:rFonts w:hint="eastAsia" w:ascii="宋体" w:hAnsi="宋体" w:eastAsia="宋体" w:cs="宋体"/>
          <w:bCs/>
          <w:sz w:val="21"/>
          <w:szCs w:val="21"/>
        </w:rPr>
        <w:t xml:space="preserve"> </w:t>
      </w:r>
    </w:p>
    <w:p>
      <w:pPr>
        <w:tabs>
          <w:tab w:val="left" w:pos="360"/>
          <w:tab w:val="left" w:pos="1080"/>
        </w:tabs>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1.评分细则中要求提供的证明文件及资料等在投标文件中提供复印件并加盖公章，要求“原件或公证件核查”的必须将原件或公证件携带至开标现场核查，否则不得分。</w:t>
      </w:r>
    </w:p>
    <w:p>
      <w:pPr>
        <w:tabs>
          <w:tab w:val="left" w:pos="360"/>
          <w:tab w:val="left" w:pos="1080"/>
        </w:tabs>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2.评标时，未能按以上要求提供相应证明（复印件和原件、公证件）的，不作为评标依据，不得分。</w:t>
      </w:r>
    </w:p>
    <w:p>
      <w:pPr>
        <w:tabs>
          <w:tab w:val="left" w:pos="360"/>
          <w:tab w:val="left" w:pos="108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sz w:val="21"/>
          <w:szCs w:val="21"/>
        </w:rPr>
        <w:t>3.为便</w:t>
      </w:r>
      <w:r>
        <w:rPr>
          <w:rFonts w:hint="eastAsia"/>
          <w:b/>
          <w:sz w:val="21"/>
          <w:szCs w:val="21"/>
        </w:rPr>
        <w:t>于评分，请投标人按评分表样式，逐条列出证明材料所在页码，格式自定。</w:t>
      </w:r>
      <w:r>
        <w:rPr>
          <w:rFonts w:hint="eastAsia" w:ascii="宋体" w:hAnsi="宋体" w:eastAsia="宋体" w:cs="宋体"/>
          <w:b/>
          <w:color w:val="auto"/>
          <w:sz w:val="36"/>
          <w:szCs w:val="36"/>
          <w:highlight w:val="none"/>
        </w:rPr>
        <w:br w:type="page"/>
      </w:r>
      <w:bookmarkStart w:id="176" w:name="_Toc104818928"/>
      <w:r>
        <w:rPr>
          <w:rFonts w:hint="eastAsia" w:ascii="宋体" w:hAnsi="宋体" w:eastAsia="宋体" w:cs="宋体"/>
          <w:b/>
          <w:color w:val="auto"/>
          <w:sz w:val="32"/>
          <w:szCs w:val="32"/>
          <w:highlight w:val="none"/>
        </w:rPr>
        <w:t>第四章   采购需求</w:t>
      </w:r>
      <w:bookmarkEnd w:id="176"/>
    </w:p>
    <w:p>
      <w:pPr>
        <w:spacing w:line="360" w:lineRule="auto"/>
        <w:ind w:firstLine="422" w:firstLineChars="200"/>
        <w:rPr>
          <w:rFonts w:hint="eastAsia" w:ascii="宋体" w:hAnsi="宋体" w:cs="宋体"/>
          <w:b/>
          <w:bCs/>
          <w:szCs w:val="21"/>
        </w:rPr>
      </w:pPr>
      <w:bookmarkStart w:id="177" w:name="_Toc104818929"/>
      <w:r>
        <w:rPr>
          <w:rFonts w:hint="eastAsia" w:ascii="宋体" w:hAnsi="宋体" w:cs="宋体"/>
          <w:b/>
          <w:bCs/>
          <w:color w:val="000000"/>
          <w:szCs w:val="21"/>
        </w:rPr>
        <w:t>一、</w:t>
      </w:r>
      <w:r>
        <w:rPr>
          <w:rFonts w:hint="eastAsia" w:ascii="宋体" w:hAnsi="宋体" w:cs="宋体"/>
          <w:b/>
          <w:bCs/>
          <w:szCs w:val="21"/>
        </w:rPr>
        <w:t>技术参数及功能要求</w:t>
      </w:r>
    </w:p>
    <w:tbl>
      <w:tblPr>
        <w:tblStyle w:val="44"/>
        <w:tblpPr w:leftFromText="180" w:rightFromText="180" w:vertAnchor="text" w:horzAnchor="page" w:tblpX="2258" w:tblpY="269"/>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3" w:type="dxa"/>
            <w:tcBorders>
              <w:top w:val="single" w:color="auto" w:sz="4" w:space="0"/>
              <w:left w:val="single" w:color="auto" w:sz="4" w:space="0"/>
              <w:bottom w:val="single" w:color="auto" w:sz="4" w:space="0"/>
              <w:right w:val="single" w:color="auto" w:sz="4" w:space="0"/>
            </w:tcBorders>
            <w:noWrap w:val="0"/>
            <w:vAlign w:val="center"/>
          </w:tcPr>
          <w:p>
            <w:pPr>
              <w:tabs>
                <w:tab w:val="left" w:pos="1612"/>
              </w:tabs>
              <w:jc w:val="left"/>
              <w:rPr>
                <w:rFonts w:hint="eastAsia" w:ascii="宋体" w:hAnsi="宋体" w:cs="宋体"/>
                <w:bCs/>
                <w:szCs w:val="21"/>
              </w:rPr>
            </w:pPr>
            <w:r>
              <w:rPr>
                <w:rFonts w:hint="eastAsia" w:ascii="宋体" w:hAnsi="宋体" w:cs="宋体"/>
                <w:szCs w:val="21"/>
              </w:rPr>
              <w:tab/>
            </w:r>
            <w:r>
              <w:rPr>
                <w:rFonts w:hint="eastAsia" w:ascii="宋体" w:hAnsi="宋体" w:cs="宋体"/>
                <w:szCs w:val="21"/>
                <w:lang w:bidi="ar"/>
              </w:rPr>
              <w:t xml:space="preserve">  目</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技术参数及功能要求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bidi="ar"/>
              </w:rPr>
            </w:pPr>
            <w:r>
              <w:rPr>
                <w:rFonts w:hint="eastAsia" w:ascii="宋体" w:hAnsi="宋体" w:cs="宋体"/>
                <w:szCs w:val="21"/>
                <w:lang w:bidi="ar"/>
              </w:rPr>
              <w:t>国民体质监测一体机</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cs="宋体"/>
                <w:color w:val="000000"/>
                <w:szCs w:val="21"/>
              </w:rPr>
            </w:pPr>
            <w:r>
              <w:rPr>
                <w:rFonts w:hint="eastAsia" w:ascii="宋体" w:hAnsi="宋体" w:cs="宋体"/>
                <w:szCs w:val="21"/>
                <w:lang w:bidi="ar"/>
              </w:rPr>
              <w:t>★1、</w:t>
            </w:r>
            <w:r>
              <w:rPr>
                <w:rFonts w:hint="eastAsia" w:ascii="宋体" w:hAnsi="宋体" w:cs="宋体"/>
                <w:color w:val="000000"/>
                <w:szCs w:val="21"/>
              </w:rPr>
              <w:t>占地面积：不大于3.5平方米。</w:t>
            </w:r>
          </w:p>
          <w:p>
            <w:pPr>
              <w:ind w:firstLine="420" w:firstLineChars="200"/>
              <w:rPr>
                <w:rFonts w:hint="eastAsia" w:ascii="宋体" w:hAnsi="宋体" w:cs="宋体"/>
                <w:szCs w:val="21"/>
              </w:rPr>
            </w:pPr>
            <w:r>
              <w:rPr>
                <w:rFonts w:hint="eastAsia" w:ascii="宋体" w:hAnsi="宋体" w:cs="宋体"/>
                <w:szCs w:val="21"/>
                <w:lang w:bidi="ar"/>
              </w:rPr>
              <w:t>★2、</w:t>
            </w:r>
            <w:r>
              <w:rPr>
                <w:rFonts w:hint="eastAsia" w:ascii="宋体" w:hAnsi="宋体" w:cs="宋体"/>
                <w:kern w:val="0"/>
                <w:szCs w:val="21"/>
                <w:lang w:bidi="ar"/>
              </w:rPr>
              <w:t>支持扫描身份证、身份证号码等多种注册方式；支持人脸识别、手机号、身份证识别及身份证号、二维码等多种登录方式。</w:t>
            </w:r>
          </w:p>
          <w:p>
            <w:pPr>
              <w:ind w:firstLine="420" w:firstLineChars="200"/>
              <w:jc w:val="left"/>
              <w:rPr>
                <w:rFonts w:hint="eastAsia" w:ascii="宋体" w:hAnsi="宋体" w:cs="宋体"/>
                <w:szCs w:val="21"/>
              </w:rPr>
            </w:pPr>
            <w:r>
              <w:rPr>
                <w:rFonts w:hint="eastAsia" w:ascii="宋体" w:hAnsi="宋体" w:cs="宋体"/>
                <w:szCs w:val="21"/>
                <w:lang w:bidi="ar"/>
              </w:rPr>
              <w:t>3、符合《中华人民共和国体育行业标准TY/T2001-2015国民体质测试器材通用要求》，并获得第三方权威检测机构提供的检验检测报告，具体包括以下测试项目：身高、体重、握力、肺活量、选择反应时、台阶试验、纵跳、坐位体前屈、闭眼单脚站立、俯卧撑（男）/一分钟仰卧起坐（女）、血压和安静脉搏。</w:t>
            </w:r>
          </w:p>
          <w:p>
            <w:pPr>
              <w:ind w:firstLine="420" w:firstLineChars="200"/>
              <w:jc w:val="left"/>
              <w:rPr>
                <w:rFonts w:hint="eastAsia" w:ascii="宋体" w:hAnsi="宋体" w:cs="宋体"/>
                <w:szCs w:val="21"/>
              </w:rPr>
            </w:pPr>
            <w:r>
              <w:rPr>
                <w:rFonts w:hint="eastAsia" w:ascii="宋体" w:hAnsi="宋体" w:cs="宋体"/>
                <w:szCs w:val="21"/>
                <w:lang w:bidi="ar"/>
              </w:rPr>
              <w:t>4、支持人体成分测量功能。</w:t>
            </w:r>
          </w:p>
          <w:p>
            <w:pPr>
              <w:ind w:firstLine="420" w:firstLineChars="200"/>
              <w:jc w:val="left"/>
              <w:rPr>
                <w:rFonts w:hint="eastAsia" w:ascii="宋体" w:hAnsi="宋体" w:cs="宋体"/>
                <w:szCs w:val="21"/>
              </w:rPr>
            </w:pPr>
            <w:r>
              <w:rPr>
                <w:rFonts w:hint="eastAsia" w:ascii="宋体" w:hAnsi="宋体" w:cs="宋体"/>
                <w:szCs w:val="21"/>
                <w:lang w:bidi="ar"/>
              </w:rPr>
              <w:t>★5、</w:t>
            </w:r>
            <w:r>
              <w:rPr>
                <w:rFonts w:hint="eastAsia" w:ascii="宋体" w:hAnsi="宋体" w:cs="宋体"/>
                <w:kern w:val="0"/>
                <w:szCs w:val="21"/>
                <w:lang w:bidi="ar"/>
              </w:rPr>
              <w:t>台阶试验时，能根据男女性别自动调整台阶高度；受试者不能持续进行上下台阶动作时，通过动作识别自动停止或跳转下一项并自动计量上下台阶的次数和时间将结果自动上传。</w:t>
            </w:r>
          </w:p>
          <w:p>
            <w:pPr>
              <w:ind w:firstLine="420" w:firstLineChars="200"/>
              <w:jc w:val="left"/>
              <w:rPr>
                <w:rFonts w:hint="eastAsia" w:ascii="宋体" w:hAnsi="宋体" w:cs="宋体"/>
                <w:szCs w:val="21"/>
              </w:rPr>
            </w:pPr>
            <w:r>
              <w:rPr>
                <w:rFonts w:hint="eastAsia" w:ascii="宋体" w:hAnsi="宋体" w:cs="宋体"/>
                <w:szCs w:val="21"/>
                <w:lang w:bidi="ar"/>
              </w:rPr>
              <w:t>★6、具有姿态检测和动作识别功能，设备一体化结构无需穿戴任何辅助设备，无分离组件，能自动判断受试者动作标准与否，并能准确测量计数。</w:t>
            </w:r>
          </w:p>
          <w:p>
            <w:pPr>
              <w:ind w:firstLine="420" w:firstLineChars="200"/>
              <w:jc w:val="left"/>
              <w:rPr>
                <w:rFonts w:hint="eastAsia" w:ascii="宋体" w:hAnsi="宋体" w:cs="宋体"/>
                <w:szCs w:val="21"/>
              </w:rPr>
            </w:pPr>
            <w:r>
              <w:rPr>
                <w:rFonts w:hint="eastAsia" w:ascii="宋体" w:hAnsi="宋体" w:cs="宋体"/>
                <w:szCs w:val="21"/>
                <w:lang w:bidi="ar"/>
              </w:rPr>
              <w:t>★7、测试过程中支持语音和动画视频全程同步引导，受试者可进行自助体质监测。</w:t>
            </w:r>
          </w:p>
          <w:p>
            <w:pPr>
              <w:ind w:firstLine="420" w:firstLineChars="200"/>
              <w:jc w:val="left"/>
              <w:rPr>
                <w:rFonts w:hint="eastAsia" w:ascii="宋体" w:hAnsi="宋体" w:cs="宋体"/>
                <w:szCs w:val="21"/>
              </w:rPr>
            </w:pPr>
            <w:r>
              <w:rPr>
                <w:rFonts w:hint="eastAsia" w:ascii="宋体" w:hAnsi="宋体" w:cs="宋体"/>
                <w:szCs w:val="21"/>
                <w:lang w:bidi="ar"/>
              </w:rPr>
              <w:t>8、体质监测数据自动记录和上传至数据平台，可打印和查询体测报告；提供体测数据管理平台，可对体测数据进行统计和分析。</w:t>
            </w:r>
          </w:p>
          <w:p>
            <w:pPr>
              <w:ind w:firstLine="420" w:firstLineChars="200"/>
              <w:jc w:val="left"/>
              <w:rPr>
                <w:rFonts w:hint="eastAsia" w:ascii="宋体" w:hAnsi="宋体" w:cs="宋体"/>
                <w:szCs w:val="21"/>
              </w:rPr>
            </w:pPr>
            <w:r>
              <w:rPr>
                <w:rFonts w:hint="eastAsia" w:ascii="宋体" w:hAnsi="宋体" w:cs="宋体"/>
                <w:szCs w:val="21"/>
                <w:lang w:bidi="ar"/>
              </w:rPr>
              <w:t>★9、提供手机终端，具备用户注册、问卷调查、体测报告查询、各项体质指标评价及趋势分析等功能，并能根据体测报告为用户提供健身指导方案。</w:t>
            </w:r>
          </w:p>
          <w:p>
            <w:pPr>
              <w:tabs>
                <w:tab w:val="left" w:pos="540"/>
              </w:tabs>
              <w:ind w:firstLine="420" w:firstLineChars="200"/>
              <w:rPr>
                <w:rFonts w:hint="eastAsia" w:ascii="宋体" w:hAnsi="宋体" w:cs="宋体"/>
                <w:szCs w:val="21"/>
                <w:lang w:bidi="ar"/>
              </w:rPr>
            </w:pPr>
            <w:r>
              <w:rPr>
                <w:rFonts w:hint="eastAsia" w:ascii="宋体" w:hAnsi="宋体" w:cs="宋体"/>
                <w:szCs w:val="21"/>
                <w:lang w:bidi="ar"/>
              </w:rPr>
              <w:t>★10、开机自动标定数据，系统可远程升级，能根据测试者血压异常情况或体成分测试时给出风险提示或禁止高风险项目测量。</w:t>
            </w:r>
          </w:p>
        </w:tc>
      </w:tr>
    </w:tbl>
    <w:p>
      <w:pPr>
        <w:pStyle w:val="28"/>
        <w:spacing w:line="360" w:lineRule="auto"/>
        <w:ind w:firstLine="0" w:firstLineChars="0"/>
        <w:rPr>
          <w:rFonts w:hint="eastAsia" w:ascii="宋体" w:hAnsi="宋体" w:cs="宋体"/>
          <w:szCs w:val="21"/>
        </w:rPr>
      </w:pPr>
      <w:r>
        <w:rPr>
          <w:rFonts w:hint="eastAsia" w:ascii="宋体" w:hAnsi="宋体" w:cs="宋体"/>
          <w:szCs w:val="21"/>
        </w:rPr>
        <w:t xml:space="preserve">   </w:t>
      </w: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cs="宋体"/>
          <w:szCs w:val="21"/>
        </w:rPr>
      </w:pPr>
    </w:p>
    <w:p>
      <w:pPr>
        <w:pStyle w:val="28"/>
        <w:spacing w:line="360" w:lineRule="auto"/>
        <w:ind w:firstLine="0" w:firstLineChars="0"/>
        <w:rPr>
          <w:rFonts w:hint="eastAsia" w:ascii="宋体" w:hAnsi="宋体" w:eastAsia="宋体" w:cs="宋体"/>
          <w:b/>
          <w:sz w:val="22"/>
          <w:szCs w:val="20"/>
        </w:rPr>
      </w:pPr>
      <w:r>
        <w:rPr>
          <w:rFonts w:hint="eastAsia" w:ascii="宋体" w:hAnsi="宋体" w:eastAsia="宋体" w:cs="宋体"/>
          <w:sz w:val="22"/>
          <w:szCs w:val="20"/>
        </w:rPr>
        <w:t>采购数量：国民体质监测一体机1台。</w:t>
      </w:r>
    </w:p>
    <w:p>
      <w:pPr>
        <w:spacing w:line="360" w:lineRule="auto"/>
        <w:ind w:firstLine="422" w:firstLineChars="200"/>
        <w:jc w:val="left"/>
        <w:rPr>
          <w:rFonts w:hint="eastAsia" w:ascii="宋体" w:hAnsi="宋体" w:cs="宋体"/>
          <w:szCs w:val="21"/>
        </w:rPr>
      </w:pPr>
      <w:r>
        <w:rPr>
          <w:rFonts w:hint="eastAsia" w:ascii="宋体" w:hAnsi="宋体" w:cs="宋体"/>
          <w:b/>
          <w:szCs w:val="21"/>
        </w:rPr>
        <w:t>二、其他要求</w:t>
      </w:r>
    </w:p>
    <w:p>
      <w:pPr>
        <w:spacing w:line="360" w:lineRule="auto"/>
        <w:outlineLvl w:val="3"/>
        <w:rPr>
          <w:rFonts w:hint="eastAsia" w:ascii="宋体" w:hAnsi="宋体" w:cs="宋体"/>
          <w:b/>
          <w:bCs/>
          <w:szCs w:val="21"/>
        </w:rPr>
      </w:pPr>
      <w:r>
        <w:rPr>
          <w:rFonts w:hint="eastAsia" w:ascii="宋体" w:hAnsi="宋体" w:cs="宋体"/>
          <w:b/>
          <w:szCs w:val="21"/>
        </w:rPr>
        <w:t>（一）</w:t>
      </w:r>
      <w:r>
        <w:rPr>
          <w:rFonts w:hint="eastAsia" w:ascii="宋体" w:hAnsi="宋体" w:cs="宋体"/>
          <w:b/>
          <w:bCs/>
          <w:szCs w:val="21"/>
        </w:rPr>
        <w:t>项目实施要求：</w:t>
      </w:r>
    </w:p>
    <w:p>
      <w:pPr>
        <w:spacing w:line="360" w:lineRule="auto"/>
        <w:ind w:firstLine="420" w:firstLineChars="200"/>
        <w:rPr>
          <w:rFonts w:hint="eastAsia" w:ascii="宋体" w:hAnsi="宋体" w:cs="宋体"/>
          <w:szCs w:val="21"/>
        </w:rPr>
      </w:pPr>
      <w:r>
        <w:rPr>
          <w:rFonts w:hint="eastAsia" w:ascii="宋体" w:hAnsi="宋体" w:cs="宋体"/>
          <w:szCs w:val="21"/>
        </w:rPr>
        <w:t>1、检测、验收：</w:t>
      </w:r>
    </w:p>
    <w:p>
      <w:pPr>
        <w:spacing w:line="360" w:lineRule="auto"/>
        <w:ind w:firstLine="420" w:firstLineChars="200"/>
        <w:rPr>
          <w:rFonts w:hint="eastAsia" w:ascii="宋体" w:hAnsi="宋体" w:cs="宋体"/>
          <w:szCs w:val="21"/>
        </w:rPr>
      </w:pPr>
      <w:r>
        <w:rPr>
          <w:rFonts w:hint="eastAsia" w:ascii="宋体" w:hAnsi="宋体" w:cs="宋体"/>
          <w:szCs w:val="21"/>
        </w:rPr>
        <w:t>（1）货物交到采购人指定地点（须提前通知采购人）由采购人及采购人指定部门对货物数量、质量、材质、规格、性能、外观（有破损或划痕的均不予验收通过）、包装、随机资料、出厂产品检验合格证、装箱单进行查验；</w:t>
      </w:r>
    </w:p>
    <w:p>
      <w:pPr>
        <w:spacing w:line="360" w:lineRule="auto"/>
        <w:ind w:firstLine="420" w:firstLineChars="200"/>
        <w:rPr>
          <w:rFonts w:hint="eastAsia" w:ascii="宋体" w:hAnsi="宋体" w:cs="宋体"/>
          <w:szCs w:val="21"/>
        </w:rPr>
      </w:pPr>
      <w:r>
        <w:rPr>
          <w:rFonts w:hint="eastAsia" w:ascii="宋体" w:hAnsi="宋体" w:cs="宋体"/>
          <w:szCs w:val="21"/>
        </w:rPr>
        <w:t>（2）成交人应保证所提供货物、软件涉及到的知识产权是合法取得，并享有完整的知识产权，不会因为采购人的使用而被责令停止使用、追偿或要求赔偿损失，如出现此情况，一切经济和法律责任均由成交人承担。中标人应按采购文件的有关规定提供合格货物及服务，质量符合国际或国家通用标准。</w:t>
      </w:r>
    </w:p>
    <w:p>
      <w:pPr>
        <w:spacing w:line="360" w:lineRule="auto"/>
        <w:ind w:firstLine="420" w:firstLineChars="200"/>
        <w:rPr>
          <w:rFonts w:hint="eastAsia" w:ascii="宋体" w:hAnsi="宋体" w:cs="宋体"/>
          <w:szCs w:val="21"/>
        </w:rPr>
      </w:pPr>
      <w:r>
        <w:rPr>
          <w:rFonts w:hint="eastAsia" w:ascii="宋体" w:hAnsi="宋体" w:cs="宋体"/>
          <w:szCs w:val="21"/>
        </w:rPr>
        <w:t>（3）采购人有权邀请第三方权威机构参与验收，如发现虚假情况，采购人将拒绝支付任何费用并索赔。</w:t>
      </w:r>
    </w:p>
    <w:p>
      <w:pPr>
        <w:spacing w:line="360" w:lineRule="auto"/>
        <w:ind w:firstLine="420" w:firstLineChars="200"/>
        <w:rPr>
          <w:rFonts w:hint="eastAsia" w:ascii="宋体" w:hAnsi="宋体" w:cs="宋体"/>
          <w:szCs w:val="21"/>
        </w:rPr>
      </w:pPr>
      <w:r>
        <w:rPr>
          <w:rFonts w:hint="eastAsia" w:ascii="宋体" w:hAnsi="宋体" w:cs="宋体"/>
          <w:szCs w:val="21"/>
        </w:rPr>
        <w:t>2、验收期限：整个项目安装调试完毕后7个工作日内进行验收。</w:t>
      </w:r>
    </w:p>
    <w:p>
      <w:pPr>
        <w:spacing w:line="360" w:lineRule="auto"/>
        <w:ind w:firstLine="420" w:firstLineChars="200"/>
        <w:rPr>
          <w:rFonts w:hint="eastAsia" w:ascii="宋体" w:hAnsi="宋体" w:cs="宋体"/>
          <w:szCs w:val="21"/>
        </w:rPr>
      </w:pPr>
      <w:r>
        <w:rPr>
          <w:rFonts w:hint="eastAsia" w:ascii="宋体" w:hAnsi="宋体" w:cs="宋体"/>
          <w:szCs w:val="21"/>
        </w:rPr>
        <w:t>3、验收标准：货物必须符合我国最新颁布的与之相关的技术规范与标准，同时必须满足采购文件中所列规格、具体配置、技术条件及功能要求和中标人承诺的其它指标。</w:t>
      </w:r>
    </w:p>
    <w:p>
      <w:pPr>
        <w:spacing w:line="360" w:lineRule="auto"/>
        <w:outlineLvl w:val="3"/>
        <w:rPr>
          <w:rFonts w:hint="eastAsia" w:ascii="宋体" w:hAnsi="宋体" w:cs="宋体"/>
          <w:b/>
          <w:bCs/>
          <w:szCs w:val="21"/>
        </w:rPr>
      </w:pPr>
      <w:r>
        <w:rPr>
          <w:rFonts w:hint="eastAsia" w:ascii="宋体" w:hAnsi="宋体" w:cs="宋体"/>
          <w:b/>
          <w:szCs w:val="21"/>
        </w:rPr>
        <w:t>（二）一体机</w:t>
      </w:r>
      <w:r>
        <w:rPr>
          <w:rFonts w:hint="eastAsia" w:ascii="宋体" w:hAnsi="宋体" w:cs="宋体"/>
          <w:b/>
          <w:bCs/>
          <w:szCs w:val="21"/>
        </w:rPr>
        <w:t>售后服务要求：</w:t>
      </w:r>
    </w:p>
    <w:p>
      <w:pPr>
        <w:spacing w:line="360" w:lineRule="auto"/>
        <w:ind w:firstLine="420" w:firstLineChars="200"/>
        <w:rPr>
          <w:rFonts w:hint="eastAsia" w:ascii="宋体" w:hAnsi="宋体" w:cs="宋体"/>
          <w:szCs w:val="21"/>
        </w:rPr>
      </w:pPr>
      <w:r>
        <w:rPr>
          <w:rFonts w:hint="eastAsia" w:ascii="宋体" w:hAnsi="宋体" w:cs="宋体"/>
          <w:szCs w:val="21"/>
        </w:rPr>
        <w:t>1、一体机免费质保期：一体机监测设备免费质保期2年，如果设备在质保期内发生软、硬件故障，中标人应在30分钟内响应，4小时内赶到现场进行维修，如在12时内不能解决问题，应免费用同等品牌、规格或更高规格的部件更换到位。否则采购人将自行采取必要的措施，由此产生的风险和费用以及产生的其他直接和间接损失由成交人承担（但不包括用户人为造成的损伤）</w:t>
      </w:r>
    </w:p>
    <w:p>
      <w:pPr>
        <w:spacing w:line="360" w:lineRule="auto"/>
        <w:ind w:firstLine="420" w:firstLineChars="200"/>
        <w:rPr>
          <w:rFonts w:hint="eastAsia" w:ascii="宋体" w:hAnsi="宋体" w:cs="宋体"/>
          <w:szCs w:val="21"/>
        </w:rPr>
      </w:pPr>
      <w:r>
        <w:rPr>
          <w:rFonts w:hint="eastAsia" w:ascii="宋体" w:hAnsi="宋体" w:cs="宋体"/>
          <w:szCs w:val="21"/>
        </w:rPr>
        <w:t>2、技术支持及技术培训：在质保期内正常使用条件下，成交人对设备出现的故障提供免费维修，零部件损坏须及时免费更换。在设备的设计使用寿命周期内，成交人应保证采购人能更换到原厂正宗的零部件，确保设备正常使用。成交人自备安装调试及维修工具。</w:t>
      </w:r>
    </w:p>
    <w:p>
      <w:pPr>
        <w:spacing w:line="360" w:lineRule="auto"/>
        <w:ind w:firstLine="420" w:firstLineChars="200"/>
        <w:rPr>
          <w:rFonts w:hint="eastAsia" w:ascii="宋体" w:hAnsi="宋体" w:cs="宋体"/>
          <w:szCs w:val="21"/>
        </w:rPr>
      </w:pPr>
      <w:r>
        <w:rPr>
          <w:rFonts w:hint="eastAsia" w:ascii="宋体" w:hAnsi="宋体" w:cs="宋体"/>
          <w:szCs w:val="21"/>
        </w:rPr>
        <w:t>3、成交人负责对系统设备进行日常维护，并对采购人相关人员进行技术指导。</w:t>
      </w:r>
    </w:p>
    <w:p>
      <w:pPr>
        <w:spacing w:line="360" w:lineRule="auto"/>
        <w:ind w:firstLine="420" w:firstLineChars="200"/>
        <w:rPr>
          <w:rFonts w:hint="eastAsia" w:ascii="宋体" w:hAnsi="宋体" w:cs="宋体"/>
          <w:szCs w:val="21"/>
        </w:rPr>
      </w:pPr>
      <w:r>
        <w:rPr>
          <w:rFonts w:hint="eastAsia" w:ascii="宋体" w:hAnsi="宋体" w:cs="宋体"/>
          <w:szCs w:val="21"/>
        </w:rPr>
        <w:t>4、为保证设备在发生故障后能得到及时的恢复正常运行，成交人负责准备适当的备品备件。</w:t>
      </w:r>
    </w:p>
    <w:p>
      <w:pPr>
        <w:spacing w:line="360" w:lineRule="auto"/>
        <w:ind w:firstLine="420" w:firstLineChars="200"/>
        <w:rPr>
          <w:rFonts w:hint="eastAsia" w:ascii="宋体" w:hAnsi="宋体" w:cs="宋体"/>
          <w:szCs w:val="21"/>
        </w:rPr>
      </w:pPr>
      <w:r>
        <w:rPr>
          <w:rFonts w:hint="eastAsia" w:ascii="宋体" w:hAnsi="宋体" w:cs="宋体"/>
          <w:szCs w:val="21"/>
        </w:rPr>
        <w:t>5、采购人应向成交人现场调试技术人员及维修人员提供方便条件，有关费用由成交人负责。</w:t>
      </w:r>
    </w:p>
    <w:p>
      <w:pPr>
        <w:spacing w:line="360" w:lineRule="auto"/>
        <w:ind w:firstLine="420" w:firstLineChars="200"/>
        <w:rPr>
          <w:rFonts w:hint="eastAsia" w:ascii="宋体" w:hAnsi="宋体" w:cs="宋体"/>
          <w:szCs w:val="21"/>
        </w:rPr>
      </w:pPr>
      <w:r>
        <w:rPr>
          <w:rFonts w:hint="eastAsia" w:ascii="宋体" w:hAnsi="宋体" w:cs="宋体"/>
          <w:szCs w:val="21"/>
        </w:rPr>
        <w:t>6、培训服务要求：</w:t>
      </w:r>
    </w:p>
    <w:p>
      <w:pPr>
        <w:spacing w:line="360" w:lineRule="auto"/>
        <w:ind w:firstLine="420" w:firstLineChars="200"/>
        <w:rPr>
          <w:rFonts w:hint="eastAsia" w:ascii="宋体" w:hAnsi="宋体" w:cs="宋体"/>
          <w:szCs w:val="21"/>
        </w:rPr>
      </w:pPr>
      <w:r>
        <w:rPr>
          <w:rFonts w:hint="eastAsia" w:ascii="宋体" w:hAnsi="宋体" w:cs="宋体"/>
          <w:szCs w:val="21"/>
        </w:rPr>
        <w:t>包括技术、维修和操作培训，含工作原理，设备的编程、操作使用和维护方法，达到正确检修、维护和排除故障的水平。保证受培训人员能独立操作，培训费用由成交人承担。</w:t>
      </w:r>
    </w:p>
    <w:p>
      <w:pPr>
        <w:spacing w:line="360" w:lineRule="exact"/>
        <w:rPr>
          <w:rFonts w:hint="eastAsia" w:ascii="宋体" w:hAnsi="宋体" w:cs="宋体"/>
          <w:b/>
          <w:szCs w:val="21"/>
        </w:rPr>
      </w:pPr>
      <w:r>
        <w:rPr>
          <w:rFonts w:hint="eastAsia" w:ascii="宋体" w:hAnsi="宋体" w:cs="宋体"/>
          <w:b/>
          <w:szCs w:val="21"/>
        </w:rPr>
        <w:t>（三）全部货物交货要求：</w:t>
      </w:r>
    </w:p>
    <w:p>
      <w:pPr>
        <w:spacing w:line="360" w:lineRule="auto"/>
        <w:ind w:firstLine="420" w:firstLineChars="200"/>
        <w:rPr>
          <w:rFonts w:hint="eastAsia" w:ascii="宋体" w:hAnsi="宋体" w:cs="宋体"/>
          <w:szCs w:val="21"/>
        </w:rPr>
      </w:pPr>
      <w:r>
        <w:rPr>
          <w:rFonts w:hint="eastAsia" w:ascii="宋体" w:hAnsi="宋体" w:cs="宋体"/>
          <w:szCs w:val="21"/>
        </w:rPr>
        <w:t>1、交付使用时间：自合同签订之日起7日内，成交人提供所有货物至采购人处。供应商可先到项地点充分了解工地位置、情况、道路、储存空间、装卸限制及施工配合等任何其他足以影响响应报价的情况，任何因忽视或误解项目现场而导致的索赔或工期延长申请将不被批准。</w:t>
      </w:r>
    </w:p>
    <w:p>
      <w:pPr>
        <w:spacing w:line="360" w:lineRule="auto"/>
        <w:ind w:firstLine="420" w:firstLineChars="200"/>
        <w:rPr>
          <w:rFonts w:hint="eastAsia" w:ascii="宋体" w:hAnsi="宋体" w:cs="宋体"/>
          <w:szCs w:val="21"/>
        </w:rPr>
      </w:pPr>
      <w:r>
        <w:rPr>
          <w:rFonts w:hint="eastAsia" w:ascii="宋体" w:hAnsi="宋体" w:cs="宋体"/>
          <w:szCs w:val="21"/>
        </w:rPr>
        <w:t>2、送货地点：成交人负责将货物运到采购人指定地点，由成交人负责办理运输和装卸，安装等，费用由成交人负责。</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zh-CN"/>
        </w:rPr>
        <w:t>、</w:t>
      </w:r>
      <w:r>
        <w:rPr>
          <w:rFonts w:hint="eastAsia" w:ascii="宋体" w:hAnsi="宋体" w:cs="宋体"/>
          <w:szCs w:val="21"/>
        </w:rPr>
        <w:t>本次磋商采购全部内容为“交钥匙”工程，一切费用均包含在报价内，请各供应商认真考虑其各种风险。除合同另有规定之外，伴随服务的费用均已含在合同价款中，采购人不再另行支付。</w:t>
      </w:r>
    </w:p>
    <w:p>
      <w:pPr>
        <w:spacing w:line="360" w:lineRule="auto"/>
        <w:ind w:firstLine="420" w:firstLineChars="200"/>
        <w:rPr>
          <w:rFonts w:hint="eastAsia" w:ascii="宋体" w:hAnsi="宋体" w:cs="宋体"/>
          <w:szCs w:val="21"/>
        </w:rPr>
      </w:pPr>
      <w:r>
        <w:rPr>
          <w:rFonts w:hint="eastAsia" w:ascii="宋体" w:hAnsi="宋体" w:cs="宋体"/>
          <w:szCs w:val="21"/>
        </w:rPr>
        <w:t>4、安装要求：安装队伍必须加强管理，遵守现场的一切规章制度，文明施工，注意安全；安装期间，成交人必须服从采购人管理，货物进场须经采购人验货后才能安装；成交人安装人员、施工机械或在运输装卸途中对其他设备及邻近管线等造成损坏，应由成交人负责修复及承担一切费用；无论安装期间或退换过程中，成交人负责及时清理垃圾。</w:t>
      </w:r>
    </w:p>
    <w:p>
      <w:pPr>
        <w:spacing w:line="360" w:lineRule="auto"/>
        <w:ind w:firstLine="420" w:firstLineChars="200"/>
        <w:rPr>
          <w:rFonts w:hint="eastAsia" w:ascii="宋体" w:hAnsi="宋体" w:cs="宋体"/>
          <w:szCs w:val="21"/>
        </w:rPr>
      </w:pPr>
      <w:r>
        <w:rPr>
          <w:rFonts w:hint="eastAsia" w:ascii="宋体" w:hAnsi="宋体" w:cs="宋体"/>
          <w:szCs w:val="21"/>
        </w:rPr>
        <w:t>5、货物由供应商运至采购人指定地点，验收交货前存放及保管概由供应商负责。</w:t>
      </w:r>
    </w:p>
    <w:p>
      <w:pPr>
        <w:spacing w:line="360" w:lineRule="auto"/>
        <w:ind w:firstLine="420" w:firstLineChars="200"/>
        <w:rPr>
          <w:rFonts w:hint="eastAsia" w:ascii="宋体" w:hAnsi="宋体" w:cs="宋体"/>
          <w:szCs w:val="21"/>
        </w:rPr>
      </w:pPr>
      <w:r>
        <w:rPr>
          <w:rFonts w:hint="eastAsia" w:ascii="宋体" w:hAnsi="宋体" w:cs="宋体"/>
          <w:szCs w:val="21"/>
        </w:rPr>
        <w:t>6、设备材料的包装均应有良好的防湿、防锈、防潮、防雨、防腐及防碰撞的措施。凡由于包装不良造成的损失和由此产生的费用均由供应商承担。</w:t>
      </w:r>
    </w:p>
    <w:p>
      <w:pPr>
        <w:pStyle w:val="2"/>
        <w:spacing w:line="360" w:lineRule="auto"/>
        <w:rPr>
          <w:rFonts w:hint="eastAsia" w:hAnsi="宋体"/>
          <w:b/>
          <w:bCs/>
          <w:color w:val="auto"/>
          <w:kern w:val="2"/>
          <w:sz w:val="21"/>
          <w:szCs w:val="21"/>
        </w:rPr>
      </w:pPr>
      <w:r>
        <w:rPr>
          <w:rFonts w:hint="eastAsia" w:hAnsi="宋体"/>
          <w:b/>
          <w:bCs/>
          <w:color w:val="auto"/>
          <w:kern w:val="2"/>
          <w:sz w:val="21"/>
          <w:szCs w:val="21"/>
        </w:rPr>
        <w:t>三、付款方式</w:t>
      </w:r>
    </w:p>
    <w:p>
      <w:pPr>
        <w:spacing w:line="360" w:lineRule="auto"/>
        <w:ind w:firstLine="420" w:firstLineChars="200"/>
        <w:rPr>
          <w:rFonts w:hint="eastAsia" w:ascii="宋体" w:hAnsi="宋体" w:eastAsia="宋体" w:cs="宋体"/>
          <w:b/>
          <w:color w:val="auto"/>
          <w:sz w:val="21"/>
          <w:szCs w:val="21"/>
          <w:highlight w:val="none"/>
        </w:rPr>
      </w:pPr>
      <w:r>
        <w:rPr>
          <w:rFonts w:ascii="宋体" w:hAnsi="宋体" w:cs="宋体"/>
          <w:szCs w:val="21"/>
        </w:rPr>
        <w:t>合同签订，按期供货并安装完成后，经采购单位验收合格后支付全部货款的100%</w:t>
      </w:r>
      <w:r>
        <w:rPr>
          <w:rFonts w:hint="eastAsia" w:ascii="宋体" w:hAnsi="宋体" w:cs="宋体"/>
          <w:szCs w:val="21"/>
        </w:rPr>
        <w:t>。</w:t>
      </w:r>
    </w:p>
    <w:p>
      <w:pPr>
        <w:keepNext w:val="0"/>
        <w:keepLines w:val="0"/>
        <w:pageBreakBefore w:val="0"/>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合同草案条款</w:t>
      </w:r>
      <w:bookmarkEnd w:id="177"/>
    </w:p>
    <w:p>
      <w:pPr>
        <w:spacing w:after="156" w:afterLines="50"/>
        <w:jc w:val="center"/>
        <w:rPr>
          <w:rFonts w:hint="eastAsia" w:ascii="宋体" w:hAnsi="宋体" w:cs="宋体"/>
          <w:sz w:val="36"/>
          <w:szCs w:val="36"/>
          <w:lang w:eastAsia="zh-CN"/>
        </w:rPr>
      </w:pPr>
      <w:bookmarkStart w:id="178" w:name="_Toc104818930"/>
    </w:p>
    <w:p>
      <w:pPr>
        <w:spacing w:after="156" w:afterLines="50"/>
        <w:jc w:val="both"/>
        <w:rPr>
          <w:rFonts w:hint="eastAsia" w:ascii="宋体" w:hAnsi="宋体" w:cs="宋体"/>
          <w:sz w:val="36"/>
          <w:szCs w:val="36"/>
          <w:lang w:eastAsia="zh-CN"/>
        </w:rPr>
      </w:pPr>
    </w:p>
    <w:p>
      <w:pPr>
        <w:spacing w:after="156" w:afterLines="50"/>
        <w:jc w:val="center"/>
        <w:rPr>
          <w:rFonts w:hint="eastAsia"/>
          <w:b/>
          <w:bCs/>
          <w:sz w:val="72"/>
          <w:szCs w:val="72"/>
        </w:rPr>
      </w:pPr>
      <w:r>
        <w:rPr>
          <w:rFonts w:hint="eastAsia" w:ascii="宋体" w:hAnsi="宋体" w:cs="宋体"/>
          <w:sz w:val="36"/>
          <w:szCs w:val="36"/>
          <w:lang w:eastAsia="zh-CN"/>
        </w:rPr>
        <w:t>常州市体育局2022年国民体质监测一体机采购项目（二次）</w:t>
      </w:r>
    </w:p>
    <w:p>
      <w:pPr>
        <w:pStyle w:val="253"/>
        <w:widowControl w:val="0"/>
        <w:topLinePunct/>
        <w:snapToGrid w:val="0"/>
        <w:spacing w:before="40" w:after="40"/>
        <w:jc w:val="center"/>
        <w:rPr>
          <w:rFonts w:hint="eastAsia"/>
          <w:b/>
          <w:bCs/>
          <w:sz w:val="72"/>
          <w:szCs w:val="72"/>
          <w:lang w:val="en-US" w:eastAsia="zh-CN"/>
        </w:rPr>
      </w:pPr>
    </w:p>
    <w:p>
      <w:pPr>
        <w:pStyle w:val="253"/>
        <w:widowControl w:val="0"/>
        <w:topLinePunct/>
        <w:snapToGrid w:val="0"/>
        <w:spacing w:before="40" w:after="40"/>
        <w:jc w:val="center"/>
        <w:rPr>
          <w:rFonts w:hint="eastAsia" w:eastAsia="宋体"/>
          <w:b/>
          <w:bCs/>
          <w:sz w:val="72"/>
          <w:szCs w:val="72"/>
          <w:lang w:val="en-US" w:eastAsia="zh-CN"/>
        </w:rPr>
      </w:pPr>
      <w:r>
        <w:rPr>
          <w:rFonts w:hint="eastAsia" w:eastAsia="宋体"/>
          <w:b/>
          <w:bCs/>
          <w:sz w:val="72"/>
          <w:szCs w:val="72"/>
          <w:lang w:val="en-US" w:eastAsia="zh-CN"/>
        </w:rPr>
        <w:t>采</w:t>
      </w:r>
    </w:p>
    <w:p>
      <w:pPr>
        <w:pStyle w:val="253"/>
        <w:widowControl w:val="0"/>
        <w:topLinePunct/>
        <w:snapToGrid w:val="0"/>
        <w:spacing w:before="40" w:after="40"/>
        <w:jc w:val="center"/>
        <w:rPr>
          <w:rFonts w:hint="default" w:eastAsia="宋体"/>
          <w:b/>
          <w:bCs/>
          <w:sz w:val="72"/>
          <w:szCs w:val="72"/>
          <w:lang w:val="en-US" w:eastAsia="zh-CN"/>
        </w:rPr>
      </w:pPr>
      <w:r>
        <w:rPr>
          <w:rFonts w:hint="eastAsia" w:eastAsia="宋体"/>
          <w:b/>
          <w:bCs/>
          <w:sz w:val="72"/>
          <w:szCs w:val="72"/>
          <w:lang w:val="en-US" w:eastAsia="zh-CN"/>
        </w:rPr>
        <w:t>购</w:t>
      </w:r>
    </w:p>
    <w:p>
      <w:pPr>
        <w:pStyle w:val="253"/>
        <w:widowControl w:val="0"/>
        <w:topLinePunct/>
        <w:snapToGrid w:val="0"/>
        <w:spacing w:before="40" w:after="40"/>
        <w:jc w:val="center"/>
        <w:rPr>
          <w:rFonts w:hint="eastAsia"/>
          <w:b/>
          <w:bCs/>
          <w:sz w:val="72"/>
          <w:szCs w:val="72"/>
        </w:rPr>
      </w:pPr>
      <w:r>
        <w:rPr>
          <w:rFonts w:hint="eastAsia"/>
          <w:b/>
          <w:bCs/>
          <w:sz w:val="72"/>
          <w:szCs w:val="72"/>
        </w:rPr>
        <w:t>合</w:t>
      </w:r>
    </w:p>
    <w:p>
      <w:pPr>
        <w:pStyle w:val="253"/>
        <w:widowControl w:val="0"/>
        <w:topLinePunct/>
        <w:snapToGrid w:val="0"/>
        <w:spacing w:before="40" w:after="40"/>
        <w:jc w:val="center"/>
        <w:rPr>
          <w:rFonts w:hint="eastAsia"/>
          <w:sz w:val="36"/>
          <w:szCs w:val="36"/>
        </w:rPr>
      </w:pPr>
      <w:r>
        <w:rPr>
          <w:rFonts w:hint="eastAsia"/>
          <w:b/>
          <w:bCs/>
          <w:sz w:val="72"/>
          <w:szCs w:val="72"/>
        </w:rPr>
        <w:t>同</w:t>
      </w:r>
    </w:p>
    <w:p>
      <w:pPr>
        <w:pStyle w:val="253"/>
        <w:widowControl w:val="0"/>
        <w:topLinePunct/>
        <w:snapToGrid w:val="0"/>
        <w:spacing w:before="40" w:after="40" w:line="360" w:lineRule="auto"/>
        <w:ind w:firstLine="1120" w:firstLineChars="400"/>
        <w:jc w:val="both"/>
        <w:rPr>
          <w:rFonts w:hint="eastAsia" w:ascii="Arial" w:hAnsi="Arial" w:cs="Arial"/>
          <w:sz w:val="28"/>
          <w:szCs w:val="28"/>
        </w:rPr>
      </w:pPr>
    </w:p>
    <w:p>
      <w:pPr>
        <w:pStyle w:val="253"/>
        <w:widowControl w:val="0"/>
        <w:topLinePunct/>
        <w:snapToGrid w:val="0"/>
        <w:spacing w:before="40" w:after="40" w:line="360" w:lineRule="auto"/>
        <w:ind w:firstLine="1120" w:firstLineChars="400"/>
        <w:jc w:val="both"/>
        <w:rPr>
          <w:rFonts w:ascii="Arial" w:hAnsi="Arial" w:cs="Arial"/>
          <w:sz w:val="28"/>
          <w:szCs w:val="28"/>
        </w:rPr>
      </w:pPr>
      <w:r>
        <w:rPr>
          <w:rFonts w:hint="eastAsia" w:ascii="Arial" w:hAnsi="Arial" w:cs="Arial"/>
          <w:sz w:val="28"/>
          <w:szCs w:val="28"/>
        </w:rPr>
        <w:t>委托人：</w:t>
      </w:r>
      <w:r>
        <w:rPr>
          <w:rFonts w:hint="eastAsia" w:ascii="Arial" w:hAnsi="Arial" w:cs="Arial"/>
          <w:sz w:val="28"/>
          <w:szCs w:val="28"/>
          <w:lang w:eastAsia="zh-CN"/>
        </w:rPr>
        <w:t>常州市体育局</w:t>
      </w:r>
      <w:r>
        <w:rPr>
          <w:rFonts w:hint="eastAsia" w:ascii="Arial" w:hAnsi="Arial" w:cs="Arial"/>
          <w:sz w:val="28"/>
          <w:szCs w:val="28"/>
        </w:rPr>
        <w:t xml:space="preserve"> </w:t>
      </w:r>
    </w:p>
    <w:p>
      <w:pPr>
        <w:pStyle w:val="253"/>
        <w:widowControl w:val="0"/>
        <w:topLinePunct/>
        <w:snapToGrid w:val="0"/>
        <w:spacing w:before="40" w:after="40" w:line="360" w:lineRule="auto"/>
        <w:ind w:firstLine="1120" w:firstLineChars="400"/>
        <w:jc w:val="both"/>
        <w:rPr>
          <w:rFonts w:ascii="Arial" w:hAnsi="Arial" w:cs="Arial"/>
          <w:sz w:val="44"/>
          <w:szCs w:val="44"/>
        </w:rPr>
      </w:pPr>
      <w:r>
        <w:rPr>
          <w:rFonts w:ascii="Arial" w:hAnsi="Arial" w:cs="Arial"/>
          <w:sz w:val="28"/>
          <w:szCs w:val="28"/>
        </w:rPr>
        <w:t>承接人：</w:t>
      </w:r>
      <w:r>
        <w:rPr>
          <w:rFonts w:hint="eastAsia" w:ascii="Arial" w:hAnsi="Arial" w:cs="Arial"/>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2"/>
          <w:szCs w:val="32"/>
          <w:highlight w:val="none"/>
        </w:rPr>
      </w:pPr>
    </w:p>
    <w:p>
      <w:pPr>
        <w:pStyle w:val="6"/>
        <w:rPr>
          <w:rFonts w:hint="eastAsia"/>
        </w:rPr>
      </w:pPr>
    </w:p>
    <w:p>
      <w:pPr>
        <w:rPr>
          <w:rFonts w:hint="eastAsia"/>
        </w:rPr>
      </w:pPr>
    </w:p>
    <w:p>
      <w:pPr>
        <w:pStyle w:val="40"/>
        <w:rPr>
          <w:rFonts w:hint="eastAsia"/>
        </w:rPr>
      </w:pPr>
    </w:p>
    <w:p>
      <w:pPr>
        <w:rPr>
          <w:rFonts w:hint="eastAsia"/>
        </w:rPr>
      </w:pPr>
    </w:p>
    <w:p>
      <w:pPr>
        <w:numPr>
          <w:ilvl w:val="0"/>
          <w:numId w:val="0"/>
        </w:numPr>
        <w:rPr>
          <w:rFonts w:hint="eastAsia" w:ascii="宋体" w:hAnsi="宋体" w:cs="宋体"/>
          <w:b/>
          <w:szCs w:val="21"/>
        </w:rPr>
      </w:pPr>
    </w:p>
    <w:p>
      <w:pPr>
        <w:numPr>
          <w:ilvl w:val="0"/>
          <w:numId w:val="0"/>
        </w:numPr>
        <w:spacing w:line="360" w:lineRule="auto"/>
        <w:rPr>
          <w:rFonts w:hint="eastAsia" w:ascii="宋体" w:hAnsi="宋体" w:cs="宋体"/>
          <w:b/>
          <w:szCs w:val="21"/>
        </w:rPr>
      </w:pPr>
    </w:p>
    <w:p>
      <w:pPr>
        <w:snapToGrid w:val="0"/>
        <w:spacing w:line="360" w:lineRule="auto"/>
        <w:rPr>
          <w:rFonts w:hint="eastAsia" w:ascii="宋体" w:hAnsi="宋体" w:eastAsia="宋体" w:cs="宋体"/>
          <w:b/>
          <w:szCs w:val="21"/>
          <w:u w:val="single"/>
        </w:rPr>
      </w:pPr>
      <w:r>
        <w:rPr>
          <w:rFonts w:hint="eastAsia" w:ascii="宋体" w:hAnsi="宋体" w:eastAsia="宋体" w:cs="宋体"/>
          <w:b/>
          <w:szCs w:val="21"/>
        </w:rPr>
        <w:t>甲方：</w:t>
      </w:r>
      <w:r>
        <w:rPr>
          <w:rFonts w:hint="eastAsia" w:ascii="宋体" w:hAnsi="宋体" w:eastAsia="宋体" w:cs="宋体"/>
          <w:b/>
          <w:szCs w:val="21"/>
          <w:u w:val="single"/>
        </w:rPr>
        <w:t xml:space="preserve">                            </w:t>
      </w:r>
      <w:r>
        <w:rPr>
          <w:rFonts w:hint="eastAsia" w:ascii="宋体" w:hAnsi="宋体" w:eastAsia="宋体" w:cs="宋体"/>
          <w:b/>
          <w:szCs w:val="21"/>
        </w:rPr>
        <w:t xml:space="preserve">                  签订地点：</w:t>
      </w:r>
      <w:r>
        <w:rPr>
          <w:rFonts w:hint="eastAsia" w:ascii="宋体" w:hAnsi="宋体" w:eastAsia="宋体" w:cs="宋体"/>
          <w:b/>
          <w:szCs w:val="21"/>
          <w:u w:val="single"/>
        </w:rPr>
        <w:t xml:space="preserve">              </w:t>
      </w:r>
    </w:p>
    <w:p>
      <w:pPr>
        <w:snapToGrid w:val="0"/>
        <w:spacing w:line="360" w:lineRule="auto"/>
        <w:rPr>
          <w:rFonts w:hint="eastAsia" w:ascii="宋体" w:hAnsi="宋体" w:eastAsia="宋体" w:cs="宋体"/>
          <w:b/>
          <w:szCs w:val="21"/>
          <w:u w:val="single"/>
        </w:rPr>
      </w:pPr>
      <w:r>
        <w:rPr>
          <w:rFonts w:hint="eastAsia" w:ascii="宋体" w:hAnsi="宋体" w:eastAsia="宋体" w:cs="宋体"/>
          <w:b/>
          <w:szCs w:val="21"/>
        </w:rPr>
        <w:t>乙方：</w:t>
      </w:r>
      <w:r>
        <w:rPr>
          <w:rFonts w:hint="eastAsia" w:ascii="宋体" w:hAnsi="宋体" w:eastAsia="宋体" w:cs="宋体"/>
          <w:b/>
          <w:szCs w:val="21"/>
          <w:u w:val="single"/>
        </w:rPr>
        <w:t xml:space="preserve">                            </w:t>
      </w:r>
      <w:r>
        <w:rPr>
          <w:rFonts w:hint="eastAsia" w:ascii="宋体" w:hAnsi="宋体" w:eastAsia="宋体" w:cs="宋体"/>
          <w:b/>
          <w:szCs w:val="21"/>
        </w:rPr>
        <w:t xml:space="preserve">                   签订时间：</w:t>
      </w:r>
      <w:r>
        <w:rPr>
          <w:rFonts w:hint="eastAsia" w:ascii="宋体" w:hAnsi="宋体" w:eastAsia="宋体" w:cs="宋体"/>
          <w:b/>
          <w:szCs w:val="21"/>
          <w:u w:val="single"/>
        </w:rPr>
        <w:t>2022年 月  日</w:t>
      </w:r>
    </w:p>
    <w:p>
      <w:pPr>
        <w:snapToGrid w:val="0"/>
        <w:spacing w:line="360" w:lineRule="auto"/>
        <w:rPr>
          <w:rFonts w:hint="eastAsia" w:ascii="宋体" w:hAnsi="宋体" w:cs="宋体"/>
          <w:bCs/>
          <w:spacing w:val="2"/>
          <w:szCs w:val="21"/>
          <w:lang w:val="zh-CN"/>
        </w:rPr>
      </w:pPr>
      <w:r>
        <w:rPr>
          <w:rFonts w:hint="eastAsia" w:ascii="宋体" w:hAnsi="宋体" w:cs="宋体"/>
          <w:b/>
          <w:szCs w:val="21"/>
        </w:rPr>
        <w:t>代理机构：</w:t>
      </w:r>
      <w:r>
        <w:rPr>
          <w:rFonts w:hint="eastAsia" w:ascii="宋体" w:hAnsi="宋体" w:cs="宋体"/>
          <w:bCs/>
          <w:szCs w:val="21"/>
          <w:u w:val="single"/>
        </w:rPr>
        <w:t xml:space="preserve">江苏常信招标代理有限公司 </w:t>
      </w:r>
      <w:r>
        <w:rPr>
          <w:rFonts w:hint="eastAsia" w:ascii="宋体" w:hAnsi="宋体" w:cs="宋体"/>
          <w:szCs w:val="21"/>
        </w:rPr>
        <w:t xml:space="preserve">                  </w:t>
      </w:r>
      <w:r>
        <w:rPr>
          <w:rFonts w:hint="eastAsia" w:ascii="宋体" w:hAnsi="宋体" w:cs="宋体"/>
          <w:b/>
          <w:szCs w:val="21"/>
        </w:rPr>
        <w:t>项目编号：</w:t>
      </w:r>
      <w:r>
        <w:rPr>
          <w:rFonts w:hint="eastAsia" w:ascii="宋体" w:hAnsi="宋体" w:cs="宋体"/>
          <w:bCs/>
          <w:spacing w:val="2"/>
          <w:szCs w:val="21"/>
          <w:u w:val="single"/>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根据《中华人民共和国政府采购法》《中华人民共和国民法典》等法律法规的规定，甲乙双方按照招标代理机构江苏常信招标代理有限公司</w:t>
      </w:r>
      <w:r>
        <w:rPr>
          <w:rFonts w:hint="eastAsia" w:ascii="宋体" w:hAnsi="宋体" w:cs="宋体"/>
          <w:szCs w:val="21"/>
          <w:u w:val="single"/>
        </w:rPr>
        <w:t xml:space="preserve">  年  月  日</w:t>
      </w:r>
      <w:r>
        <w:rPr>
          <w:rFonts w:hint="eastAsia" w:ascii="宋体" w:hAnsi="宋体" w:cs="宋体"/>
          <w:szCs w:val="21"/>
        </w:rPr>
        <w:t>进行的</w:t>
      </w:r>
      <w:r>
        <w:rPr>
          <w:rFonts w:hint="eastAsia" w:ascii="宋体" w:hAnsi="宋体" w:cs="宋体"/>
          <w:szCs w:val="21"/>
          <w:u w:val="single"/>
        </w:rPr>
        <w:t xml:space="preserve">                采购项目（项目编号：                ）</w:t>
      </w:r>
      <w:r>
        <w:rPr>
          <w:rFonts w:hint="eastAsia" w:ascii="宋体" w:hAnsi="宋体" w:cs="宋体"/>
          <w:szCs w:val="21"/>
        </w:rPr>
        <w:t>的采购结果，经双方协商一致，签订本合同。</w:t>
      </w:r>
    </w:p>
    <w:p>
      <w:pPr>
        <w:spacing w:line="360" w:lineRule="auto"/>
        <w:ind w:firstLine="420" w:firstLineChars="200"/>
        <w:rPr>
          <w:rFonts w:hint="eastAsia" w:ascii="宋体" w:hAnsi="宋体" w:cs="宋体"/>
          <w:szCs w:val="21"/>
        </w:rPr>
      </w:pPr>
      <w:r>
        <w:rPr>
          <w:rFonts w:hint="eastAsia" w:ascii="宋体" w:hAnsi="宋体" w:cs="宋体"/>
          <w:szCs w:val="21"/>
        </w:rPr>
        <w:t xml:space="preserve">一、总则             </w:t>
      </w:r>
    </w:p>
    <w:p>
      <w:pPr>
        <w:spacing w:line="360" w:lineRule="auto"/>
        <w:ind w:firstLine="420" w:firstLineChars="200"/>
        <w:rPr>
          <w:rFonts w:hint="eastAsia" w:ascii="宋体" w:hAnsi="宋体" w:cs="宋体"/>
          <w:szCs w:val="21"/>
        </w:rPr>
      </w:pPr>
      <w:r>
        <w:rPr>
          <w:rFonts w:hint="eastAsia" w:ascii="宋体" w:hAnsi="宋体" w:cs="宋体"/>
          <w:szCs w:val="21"/>
        </w:rPr>
        <w:t>乙方按甲方要求，为甲方提供的设备采购项目具体服务内容见下表（单位：元）：</w:t>
      </w:r>
    </w:p>
    <w:tbl>
      <w:tblPr>
        <w:tblStyle w:val="44"/>
        <w:tblpPr w:leftFromText="180" w:rightFromText="180" w:vertAnchor="text" w:horzAnchor="page" w:tblpXSpec="center" w:tblpY="174"/>
        <w:tblOverlap w:val="never"/>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32"/>
        <w:gridCol w:w="2013"/>
        <w:gridCol w:w="1247"/>
        <w:gridCol w:w="1560"/>
        <w:gridCol w:w="70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6" w:type="dxa"/>
            <w:noWrap w:val="0"/>
            <w:vAlign w:val="center"/>
          </w:tcPr>
          <w:p>
            <w:pPr>
              <w:spacing w:line="360" w:lineRule="auto"/>
              <w:rPr>
                <w:rFonts w:hint="eastAsia" w:ascii="宋体" w:hAnsi="宋体" w:cs="宋体"/>
                <w:szCs w:val="21"/>
              </w:rPr>
            </w:pPr>
            <w:r>
              <w:rPr>
                <w:rFonts w:hint="eastAsia" w:ascii="宋体" w:hAnsi="宋体" w:cs="宋体"/>
                <w:szCs w:val="21"/>
              </w:rPr>
              <w:t>序号</w:t>
            </w:r>
          </w:p>
        </w:tc>
        <w:tc>
          <w:tcPr>
            <w:tcW w:w="1632" w:type="dxa"/>
            <w:noWrap w:val="0"/>
            <w:vAlign w:val="center"/>
          </w:tcPr>
          <w:p>
            <w:pPr>
              <w:spacing w:line="360" w:lineRule="auto"/>
              <w:rPr>
                <w:rFonts w:hint="eastAsia" w:ascii="宋体" w:hAnsi="宋体" w:cs="宋体"/>
                <w:szCs w:val="21"/>
              </w:rPr>
            </w:pPr>
            <w:r>
              <w:rPr>
                <w:rFonts w:hint="eastAsia" w:ascii="宋体" w:hAnsi="宋体" w:cs="宋体"/>
                <w:szCs w:val="21"/>
              </w:rPr>
              <w:t>采购计划单号</w:t>
            </w:r>
          </w:p>
        </w:tc>
        <w:tc>
          <w:tcPr>
            <w:tcW w:w="2013" w:type="dxa"/>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货物名称</w:t>
            </w:r>
          </w:p>
        </w:tc>
        <w:tc>
          <w:tcPr>
            <w:tcW w:w="1247" w:type="dxa"/>
            <w:noWrap w:val="0"/>
            <w:vAlign w:val="center"/>
          </w:tcPr>
          <w:p>
            <w:pPr>
              <w:spacing w:line="360" w:lineRule="auto"/>
              <w:rPr>
                <w:rFonts w:hint="eastAsia" w:ascii="宋体" w:hAnsi="宋体" w:cs="宋体"/>
                <w:szCs w:val="21"/>
              </w:rPr>
            </w:pPr>
            <w:r>
              <w:rPr>
                <w:rFonts w:hint="eastAsia" w:ascii="宋体" w:hAnsi="宋体" w:cs="宋体"/>
                <w:szCs w:val="21"/>
              </w:rPr>
              <w:t>规格型号</w:t>
            </w:r>
          </w:p>
        </w:tc>
        <w:tc>
          <w:tcPr>
            <w:tcW w:w="1560" w:type="dxa"/>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单价</w:t>
            </w:r>
          </w:p>
        </w:tc>
        <w:tc>
          <w:tcPr>
            <w:tcW w:w="708" w:type="dxa"/>
            <w:noWrap w:val="0"/>
            <w:vAlign w:val="center"/>
          </w:tcPr>
          <w:p>
            <w:pPr>
              <w:spacing w:line="360" w:lineRule="auto"/>
              <w:rPr>
                <w:rFonts w:hint="eastAsia" w:ascii="宋体" w:hAnsi="宋体" w:cs="宋体"/>
                <w:szCs w:val="21"/>
              </w:rPr>
            </w:pPr>
            <w:r>
              <w:rPr>
                <w:rFonts w:hint="eastAsia" w:ascii="宋体" w:hAnsi="宋体" w:cs="宋体"/>
                <w:szCs w:val="21"/>
              </w:rPr>
              <w:t>数量</w:t>
            </w:r>
          </w:p>
        </w:tc>
        <w:tc>
          <w:tcPr>
            <w:tcW w:w="1305" w:type="dxa"/>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6" w:type="dxa"/>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632" w:type="dxa"/>
            <w:noWrap w:val="0"/>
            <w:vAlign w:val="center"/>
          </w:tcPr>
          <w:p>
            <w:pPr>
              <w:spacing w:line="360" w:lineRule="auto"/>
              <w:ind w:firstLine="420" w:firstLineChars="200"/>
              <w:rPr>
                <w:rFonts w:hint="eastAsia" w:ascii="宋体" w:hAnsi="宋体" w:cs="宋体"/>
                <w:szCs w:val="21"/>
              </w:rPr>
            </w:pPr>
          </w:p>
        </w:tc>
        <w:tc>
          <w:tcPr>
            <w:tcW w:w="2013" w:type="dxa"/>
            <w:noWrap w:val="0"/>
            <w:vAlign w:val="center"/>
          </w:tcPr>
          <w:p>
            <w:pPr>
              <w:spacing w:line="360" w:lineRule="auto"/>
              <w:ind w:firstLine="420" w:firstLineChars="200"/>
              <w:rPr>
                <w:rFonts w:hint="eastAsia" w:ascii="宋体" w:hAnsi="宋体" w:cs="宋体"/>
                <w:szCs w:val="21"/>
              </w:rPr>
            </w:pPr>
          </w:p>
        </w:tc>
        <w:tc>
          <w:tcPr>
            <w:tcW w:w="1247" w:type="dxa"/>
            <w:noWrap w:val="0"/>
            <w:vAlign w:val="center"/>
          </w:tcPr>
          <w:p>
            <w:pPr>
              <w:spacing w:line="360" w:lineRule="auto"/>
              <w:ind w:firstLine="420" w:firstLineChars="200"/>
              <w:rPr>
                <w:rFonts w:hint="eastAsia" w:ascii="宋体" w:hAnsi="宋体" w:cs="宋体"/>
                <w:szCs w:val="21"/>
              </w:rPr>
            </w:pPr>
          </w:p>
        </w:tc>
        <w:tc>
          <w:tcPr>
            <w:tcW w:w="1560" w:type="dxa"/>
            <w:noWrap w:val="0"/>
            <w:vAlign w:val="center"/>
          </w:tcPr>
          <w:p>
            <w:pPr>
              <w:spacing w:line="360" w:lineRule="auto"/>
              <w:ind w:firstLine="420" w:firstLineChars="200"/>
              <w:rPr>
                <w:rFonts w:hint="eastAsia" w:ascii="宋体" w:hAnsi="宋体" w:cs="宋体"/>
                <w:szCs w:val="21"/>
              </w:rPr>
            </w:pPr>
            <w:bookmarkStart w:id="179" w:name="OLE_LINK13"/>
            <w:bookmarkStart w:id="180" w:name="OLE_LINK14"/>
            <w:r>
              <w:rPr>
                <w:rFonts w:hint="eastAsia" w:ascii="宋体" w:hAnsi="宋体" w:cs="宋体"/>
                <w:szCs w:val="21"/>
              </w:rPr>
              <w:t>￥</w:t>
            </w:r>
            <w:bookmarkEnd w:id="179"/>
            <w:bookmarkEnd w:id="180"/>
          </w:p>
        </w:tc>
        <w:tc>
          <w:tcPr>
            <w:tcW w:w="708" w:type="dxa"/>
            <w:noWrap w:val="0"/>
            <w:vAlign w:val="center"/>
          </w:tcPr>
          <w:p>
            <w:pPr>
              <w:spacing w:line="360" w:lineRule="auto"/>
              <w:ind w:firstLine="420" w:firstLineChars="200"/>
              <w:rPr>
                <w:rFonts w:hint="eastAsia" w:ascii="宋体" w:hAnsi="宋体" w:cs="宋体"/>
                <w:szCs w:val="21"/>
              </w:rPr>
            </w:pPr>
          </w:p>
        </w:tc>
        <w:tc>
          <w:tcPr>
            <w:tcW w:w="1305" w:type="dxa"/>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96" w:type="dxa"/>
            <w:noWrap w:val="0"/>
            <w:vAlign w:val="center"/>
          </w:tcPr>
          <w:p>
            <w:pPr>
              <w:spacing w:line="360" w:lineRule="auto"/>
              <w:rPr>
                <w:rFonts w:hint="eastAsia" w:ascii="宋体" w:hAnsi="宋体" w:cs="宋体"/>
                <w:szCs w:val="21"/>
              </w:rPr>
            </w:pPr>
            <w:r>
              <w:rPr>
                <w:rFonts w:hint="eastAsia" w:ascii="宋体" w:hAnsi="宋体" w:cs="宋体"/>
                <w:szCs w:val="21"/>
              </w:rPr>
              <w:t>合计</w:t>
            </w:r>
          </w:p>
        </w:tc>
        <w:tc>
          <w:tcPr>
            <w:tcW w:w="8465" w:type="dxa"/>
            <w:gridSpan w:val="6"/>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合计金额：</w:t>
            </w:r>
            <w:bookmarkStart w:id="181" w:name="OLE_LINK16"/>
            <w:bookmarkStart w:id="182" w:name="OLE_LINK15"/>
            <w:r>
              <w:rPr>
                <w:rFonts w:hint="eastAsia" w:ascii="宋体" w:hAnsi="宋体" w:cs="宋体"/>
                <w:szCs w:val="21"/>
              </w:rPr>
              <w:t>人民币大写</w:t>
            </w:r>
            <w:bookmarkEnd w:id="181"/>
            <w:bookmarkEnd w:id="182"/>
            <w:r>
              <w:rPr>
                <w:rFonts w:hint="eastAsia" w:ascii="宋体" w:hAnsi="宋体" w:cs="宋体"/>
                <w:szCs w:val="21"/>
              </w:rPr>
              <w:t xml:space="preserve">     元整（小写：￥     元）</w:t>
            </w:r>
            <w:bookmarkStart w:id="183" w:name="OLE_LINK19"/>
            <w:bookmarkEnd w:id="183"/>
            <w:bookmarkStart w:id="184" w:name="OLE_LINK17"/>
            <w:bookmarkEnd w:id="184"/>
            <w:bookmarkStart w:id="185" w:name="OLE_LINK18"/>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6" w:type="dxa"/>
            <w:noWrap w:val="0"/>
            <w:vAlign w:val="center"/>
          </w:tcPr>
          <w:p>
            <w:pPr>
              <w:spacing w:line="360" w:lineRule="auto"/>
              <w:rPr>
                <w:rFonts w:hint="eastAsia" w:ascii="宋体" w:hAnsi="宋体" w:cs="宋体"/>
                <w:szCs w:val="21"/>
              </w:rPr>
            </w:pPr>
            <w:r>
              <w:rPr>
                <w:rFonts w:hint="eastAsia" w:ascii="宋体" w:hAnsi="宋体" w:cs="宋体"/>
                <w:szCs w:val="21"/>
              </w:rPr>
              <w:t>备注</w:t>
            </w:r>
          </w:p>
        </w:tc>
        <w:tc>
          <w:tcPr>
            <w:tcW w:w="8465" w:type="dxa"/>
            <w:gridSpan w:val="6"/>
            <w:noWrap w:val="0"/>
            <w:vAlign w:val="center"/>
          </w:tcPr>
          <w:p>
            <w:pPr>
              <w:spacing w:line="360" w:lineRule="auto"/>
              <w:ind w:firstLine="420" w:firstLineChars="200"/>
              <w:jc w:val="center"/>
              <w:rPr>
                <w:rFonts w:hint="eastAsia" w:ascii="宋体" w:hAnsi="宋体" w:cs="宋体"/>
                <w:szCs w:val="21"/>
              </w:rPr>
            </w:pPr>
          </w:p>
        </w:tc>
      </w:tr>
    </w:tbl>
    <w:p>
      <w:pPr>
        <w:spacing w:line="360" w:lineRule="auto"/>
        <w:rPr>
          <w:rFonts w:hint="eastAsia" w:ascii="宋体" w:hAnsi="宋体" w:cs="宋体"/>
          <w:szCs w:val="21"/>
        </w:rPr>
      </w:pPr>
      <w:r>
        <w:rPr>
          <w:rFonts w:hint="eastAsia" w:ascii="宋体" w:hAnsi="宋体" w:cs="宋体"/>
          <w:szCs w:val="21"/>
        </w:rPr>
        <w:t>本合同金额为人民币大写：人民币</w:t>
      </w:r>
      <w:r>
        <w:rPr>
          <w:rFonts w:hint="eastAsia" w:ascii="宋体" w:hAnsi="宋体" w:cs="宋体"/>
          <w:szCs w:val="21"/>
          <w:u w:val="single"/>
        </w:rPr>
        <w:t xml:space="preserve">            元整 （￥            元）</w:t>
      </w:r>
      <w:r>
        <w:rPr>
          <w:rFonts w:hint="eastAsia" w:ascii="宋体" w:hAnsi="宋体" w:cs="宋体"/>
          <w:szCs w:val="21"/>
        </w:rPr>
        <w:t>。项目的具体服务要求见代理采购机构的采购文件中项目需求。</w:t>
      </w:r>
    </w:p>
    <w:p>
      <w:pPr>
        <w:spacing w:line="360" w:lineRule="auto"/>
        <w:ind w:firstLine="420" w:firstLineChars="200"/>
        <w:rPr>
          <w:rFonts w:hint="eastAsia" w:ascii="宋体" w:hAnsi="宋体" w:cs="宋体"/>
          <w:szCs w:val="21"/>
        </w:rPr>
      </w:pPr>
      <w:r>
        <w:rPr>
          <w:rFonts w:hint="eastAsia" w:ascii="宋体" w:hAnsi="宋体" w:cs="宋体"/>
          <w:szCs w:val="21"/>
        </w:rPr>
        <w:t>二、合同文件</w:t>
      </w:r>
    </w:p>
    <w:p>
      <w:pPr>
        <w:spacing w:line="360" w:lineRule="auto"/>
        <w:ind w:firstLine="420" w:firstLineChars="200"/>
        <w:rPr>
          <w:rFonts w:hint="eastAsia" w:ascii="宋体" w:hAnsi="宋体" w:cs="宋体"/>
          <w:szCs w:val="21"/>
        </w:rPr>
      </w:pPr>
      <w:r>
        <w:rPr>
          <w:rFonts w:hint="eastAsia" w:ascii="宋体" w:hAnsi="宋体" w:cs="宋体"/>
          <w:szCs w:val="21"/>
        </w:rPr>
        <w:t>下列文件是构成合同不可分割的部分，并与本合同具有同等法律效力，这些文件包括但不限于：</w:t>
      </w:r>
    </w:p>
    <w:p>
      <w:pPr>
        <w:spacing w:line="360" w:lineRule="auto"/>
        <w:ind w:firstLine="420" w:firstLineChars="200"/>
        <w:rPr>
          <w:rFonts w:hint="eastAsia" w:ascii="宋体" w:hAnsi="宋体" w:cs="宋体"/>
          <w:szCs w:val="21"/>
        </w:rPr>
      </w:pPr>
      <w:r>
        <w:rPr>
          <w:rFonts w:hint="eastAsia" w:ascii="宋体" w:hAnsi="宋体" w:cs="宋体"/>
          <w:szCs w:val="21"/>
        </w:rPr>
        <w:t xml:space="preserve">1.  </w:t>
      </w:r>
      <w:r>
        <w:rPr>
          <w:rFonts w:hint="eastAsia" w:ascii="宋体" w:hAnsi="宋体" w:cs="宋体"/>
          <w:szCs w:val="21"/>
          <w:u w:val="single"/>
        </w:rPr>
        <w:t xml:space="preserve">           </w:t>
      </w:r>
      <w:r>
        <w:rPr>
          <w:rFonts w:hint="eastAsia" w:ascii="宋体" w:hAnsi="宋体" w:cs="宋体"/>
          <w:szCs w:val="21"/>
        </w:rPr>
        <w:t xml:space="preserve"> 号采购文件；</w:t>
      </w:r>
    </w:p>
    <w:p>
      <w:pPr>
        <w:spacing w:line="360" w:lineRule="auto"/>
        <w:ind w:firstLine="420" w:firstLineChars="200"/>
        <w:rPr>
          <w:rFonts w:hint="eastAsia" w:ascii="宋体" w:hAnsi="宋体" w:cs="宋体"/>
          <w:szCs w:val="21"/>
        </w:rPr>
      </w:pPr>
      <w:r>
        <w:rPr>
          <w:rFonts w:hint="eastAsia" w:ascii="宋体" w:hAnsi="宋体" w:cs="宋体"/>
          <w:szCs w:val="21"/>
        </w:rPr>
        <w:t>2．乙方提交的响应文件；</w:t>
      </w:r>
    </w:p>
    <w:p>
      <w:pPr>
        <w:spacing w:line="360" w:lineRule="auto"/>
        <w:ind w:firstLine="420" w:firstLineChars="200"/>
        <w:rPr>
          <w:rFonts w:hint="eastAsia" w:ascii="宋体" w:hAnsi="宋体" w:cs="宋体"/>
          <w:szCs w:val="21"/>
        </w:rPr>
      </w:pPr>
      <w:r>
        <w:rPr>
          <w:rFonts w:hint="eastAsia" w:ascii="宋体" w:hAnsi="宋体" w:cs="宋体"/>
          <w:szCs w:val="21"/>
        </w:rPr>
        <w:t>3．乙方提交的其他资料及承诺。</w:t>
      </w:r>
    </w:p>
    <w:p>
      <w:pPr>
        <w:spacing w:line="360" w:lineRule="auto"/>
        <w:ind w:firstLine="420" w:firstLineChars="200"/>
        <w:rPr>
          <w:rFonts w:hint="eastAsia" w:ascii="宋体" w:hAnsi="宋体" w:cs="宋体"/>
          <w:szCs w:val="21"/>
        </w:rPr>
      </w:pPr>
      <w:r>
        <w:rPr>
          <w:rFonts w:hint="eastAsia" w:ascii="宋体" w:hAnsi="宋体" w:cs="宋体"/>
          <w:szCs w:val="21"/>
        </w:rPr>
        <w:t>三、质量保证</w:t>
      </w:r>
    </w:p>
    <w:p>
      <w:pPr>
        <w:spacing w:line="360" w:lineRule="auto"/>
        <w:ind w:firstLine="420" w:firstLineChars="200"/>
        <w:rPr>
          <w:rFonts w:hint="eastAsia" w:ascii="宋体" w:hAnsi="宋体" w:cs="宋体"/>
          <w:szCs w:val="21"/>
        </w:rPr>
      </w:pPr>
      <w:r>
        <w:rPr>
          <w:rFonts w:hint="eastAsia" w:ascii="宋体" w:hAnsi="宋体" w:cs="宋体"/>
          <w:szCs w:val="21"/>
        </w:rPr>
        <w:t xml:space="preserve">乙方所提供的设备和服务必须符合国家有关标准和 </w:t>
      </w:r>
      <w:r>
        <w:rPr>
          <w:rFonts w:hint="eastAsia" w:ascii="宋体" w:hAnsi="宋体" w:cs="宋体"/>
          <w:szCs w:val="21"/>
          <w:u w:val="single"/>
        </w:rPr>
        <w:t xml:space="preserve">            </w:t>
      </w:r>
      <w:r>
        <w:rPr>
          <w:rFonts w:hint="eastAsia" w:ascii="宋体" w:hAnsi="宋体" w:cs="宋体"/>
          <w:szCs w:val="21"/>
        </w:rPr>
        <w:t>号采购文件（含技术说明）的要求。</w:t>
      </w:r>
    </w:p>
    <w:p>
      <w:pPr>
        <w:spacing w:line="360" w:lineRule="auto"/>
        <w:ind w:firstLine="420" w:firstLineChars="200"/>
        <w:rPr>
          <w:rFonts w:hint="eastAsia" w:ascii="宋体" w:hAnsi="宋体" w:cs="宋体"/>
          <w:szCs w:val="21"/>
        </w:rPr>
      </w:pPr>
      <w:r>
        <w:rPr>
          <w:rFonts w:hint="eastAsia" w:ascii="宋体" w:hAnsi="宋体" w:cs="宋体"/>
          <w:szCs w:val="21"/>
        </w:rPr>
        <w:t>四、维保服务时间</w:t>
      </w:r>
    </w:p>
    <w:p>
      <w:pPr>
        <w:spacing w:line="360" w:lineRule="auto"/>
        <w:ind w:firstLine="420" w:firstLineChars="200"/>
        <w:rPr>
          <w:rFonts w:hint="eastAsia" w:ascii="宋体" w:hAnsi="宋体" w:cs="宋体"/>
          <w:szCs w:val="21"/>
        </w:rPr>
      </w:pPr>
      <w:r>
        <w:rPr>
          <w:rFonts w:hint="eastAsia" w:ascii="宋体" w:hAnsi="宋体" w:cs="宋体"/>
          <w:szCs w:val="21"/>
        </w:rPr>
        <w:t>乙方向甲方提供</w:t>
      </w:r>
      <w:r>
        <w:rPr>
          <w:rFonts w:hint="eastAsia" w:ascii="宋体" w:hAnsi="宋体" w:cs="宋体"/>
          <w:szCs w:val="21"/>
          <w:u w:val="single"/>
        </w:rPr>
        <w:t xml:space="preserve">     </w:t>
      </w:r>
      <w:r>
        <w:rPr>
          <w:rFonts w:hint="eastAsia" w:ascii="宋体" w:hAnsi="宋体" w:cs="宋体"/>
          <w:szCs w:val="21"/>
        </w:rPr>
        <w:t>免费质保。</w:t>
      </w:r>
    </w:p>
    <w:p>
      <w:pPr>
        <w:spacing w:line="360" w:lineRule="auto"/>
        <w:ind w:firstLine="420" w:firstLineChars="200"/>
        <w:rPr>
          <w:rFonts w:hint="eastAsia" w:ascii="宋体" w:hAnsi="宋体" w:cs="宋体"/>
          <w:szCs w:val="21"/>
        </w:rPr>
      </w:pPr>
      <w:r>
        <w:rPr>
          <w:rFonts w:hint="eastAsia" w:ascii="宋体" w:hAnsi="宋体" w:cs="宋体"/>
          <w:szCs w:val="21"/>
        </w:rPr>
        <w:t>五、付款方式</w:t>
      </w:r>
    </w:p>
    <w:p>
      <w:pPr>
        <w:spacing w:line="360" w:lineRule="auto"/>
        <w:ind w:firstLine="420" w:firstLineChars="200"/>
        <w:rPr>
          <w:rFonts w:ascii="宋体" w:hAnsi="宋体" w:cs="宋体"/>
          <w:szCs w:val="21"/>
        </w:rPr>
      </w:pPr>
      <w:r>
        <w:rPr>
          <w:rFonts w:ascii="宋体" w:hAnsi="宋体" w:cs="宋体"/>
          <w:szCs w:val="21"/>
        </w:rPr>
        <w:t>合同签订，按期供货并安装完成后，经采购单位验收合格后支付全部货款的100%</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六、服务承诺</w:t>
      </w:r>
    </w:p>
    <w:p>
      <w:pPr>
        <w:spacing w:line="360" w:lineRule="auto"/>
        <w:ind w:firstLine="420" w:firstLineChars="200"/>
        <w:rPr>
          <w:rFonts w:hint="eastAsia" w:ascii="宋体" w:hAnsi="宋体" w:cs="宋体"/>
          <w:szCs w:val="21"/>
        </w:rPr>
      </w:pPr>
      <w:r>
        <w:rPr>
          <w:rFonts w:hint="eastAsia" w:ascii="宋体" w:hAnsi="宋体" w:cs="宋体"/>
          <w:szCs w:val="21"/>
        </w:rPr>
        <w:t>1．乙方所提供货物必须符合国家有关标准；保证货物是全新、未使用过的原装合格正品，并保证货物在正常使用和保养条件下，在其使用寿命周期内具有满意的性能；</w:t>
      </w:r>
    </w:p>
    <w:p>
      <w:pPr>
        <w:spacing w:line="360" w:lineRule="auto"/>
        <w:ind w:firstLine="420" w:firstLineChars="200"/>
        <w:rPr>
          <w:rFonts w:hint="eastAsia" w:ascii="宋体" w:hAnsi="宋体" w:cs="宋体"/>
          <w:szCs w:val="21"/>
        </w:rPr>
      </w:pPr>
      <w:r>
        <w:rPr>
          <w:rFonts w:hint="eastAsia" w:ascii="宋体" w:hAnsi="宋体" w:cs="宋体"/>
          <w:szCs w:val="21"/>
        </w:rPr>
        <w:t>2．质保期内，乙方在收到通知后 7 日内对甲方的维修或更换有缺陷的货物或部件的请求提出解决方案，并尽快解决。质保期内，对于存在质量问题或做工、材料缺陷的产品或零件，乙方给予免费维修或更换；</w:t>
      </w:r>
    </w:p>
    <w:p>
      <w:pPr>
        <w:spacing w:line="360" w:lineRule="auto"/>
        <w:ind w:firstLine="420" w:firstLineChars="200"/>
        <w:rPr>
          <w:rFonts w:hint="eastAsia" w:ascii="宋体" w:hAnsi="宋体" w:cs="宋体"/>
          <w:szCs w:val="21"/>
        </w:rPr>
      </w:pPr>
      <w:r>
        <w:rPr>
          <w:rFonts w:hint="eastAsia" w:ascii="宋体" w:hAnsi="宋体" w:cs="宋体"/>
          <w:szCs w:val="21"/>
        </w:rPr>
        <w:t>3．乙方必须在合同签订后按甲方送货至甲方指定地点（合同价包含货运、卸车吊装、搬运等所有费用），乙方提供免费安装、调试；</w:t>
      </w:r>
    </w:p>
    <w:p>
      <w:pPr>
        <w:spacing w:line="360" w:lineRule="auto"/>
        <w:ind w:firstLine="420" w:firstLineChars="200"/>
        <w:rPr>
          <w:rFonts w:hint="eastAsia" w:ascii="宋体" w:hAnsi="宋体" w:cs="宋体"/>
          <w:szCs w:val="21"/>
        </w:rPr>
      </w:pPr>
      <w:r>
        <w:rPr>
          <w:rFonts w:hint="eastAsia" w:ascii="宋体" w:hAnsi="宋体" w:cs="宋体"/>
          <w:szCs w:val="21"/>
        </w:rPr>
        <w:t>4．乙方免费对甲方使用人员进行设备使用培训，安装、调试、验收合格后，乙方随时接受甲方有关常见故障的预防和安全操作的规程咨询；</w:t>
      </w:r>
    </w:p>
    <w:p>
      <w:pPr>
        <w:spacing w:line="360" w:lineRule="auto"/>
        <w:ind w:firstLine="420" w:firstLineChars="200"/>
        <w:rPr>
          <w:rFonts w:hint="eastAsia" w:ascii="宋体" w:hAnsi="宋体" w:cs="宋体"/>
          <w:szCs w:val="21"/>
        </w:rPr>
      </w:pPr>
      <w:r>
        <w:rPr>
          <w:rFonts w:hint="eastAsia" w:ascii="宋体" w:hAnsi="宋体" w:cs="宋体"/>
          <w:szCs w:val="21"/>
        </w:rPr>
        <w:t>5．硬件产品质保期过后，乙方负责后续服务和维修备件，定期检查，维护；</w:t>
      </w:r>
    </w:p>
    <w:p>
      <w:pPr>
        <w:spacing w:line="360" w:lineRule="auto"/>
        <w:ind w:firstLine="420" w:firstLineChars="200"/>
        <w:rPr>
          <w:rFonts w:hint="eastAsia" w:ascii="宋体" w:hAnsi="宋体" w:cs="宋体"/>
          <w:szCs w:val="21"/>
        </w:rPr>
      </w:pPr>
      <w:r>
        <w:rPr>
          <w:rFonts w:hint="eastAsia" w:ascii="宋体" w:hAnsi="宋体" w:cs="宋体"/>
          <w:szCs w:val="21"/>
        </w:rPr>
        <w:t>6．软件产品在质保期内免费维修、维护，免费提供软件升级；免费提供人员技术培训和提供与软件使用相关的文档资料。</w:t>
      </w:r>
    </w:p>
    <w:p>
      <w:pPr>
        <w:spacing w:line="360" w:lineRule="auto"/>
        <w:ind w:firstLine="420" w:firstLineChars="200"/>
        <w:rPr>
          <w:rFonts w:hint="eastAsia" w:ascii="宋体" w:hAnsi="宋体" w:cs="宋体"/>
          <w:szCs w:val="21"/>
        </w:rPr>
      </w:pPr>
      <w:r>
        <w:rPr>
          <w:rFonts w:hint="eastAsia" w:ascii="宋体" w:hAnsi="宋体" w:cs="宋体"/>
          <w:szCs w:val="21"/>
        </w:rPr>
        <w:t>七、违约责任</w:t>
      </w:r>
    </w:p>
    <w:p>
      <w:pPr>
        <w:spacing w:line="360" w:lineRule="auto"/>
        <w:ind w:firstLine="420" w:firstLineChars="200"/>
        <w:rPr>
          <w:rFonts w:hint="eastAsia" w:ascii="宋体" w:hAnsi="宋体" w:cs="宋体"/>
          <w:szCs w:val="21"/>
        </w:rPr>
      </w:pPr>
      <w:r>
        <w:rPr>
          <w:rFonts w:hint="eastAsia" w:ascii="宋体" w:hAnsi="宋体" w:cs="宋体"/>
          <w:szCs w:val="21"/>
        </w:rPr>
        <w:t>1．任何一方出现违约，由此造成的直接经济损失均由违约方负责赔偿；</w:t>
      </w:r>
    </w:p>
    <w:p>
      <w:pPr>
        <w:spacing w:line="360" w:lineRule="auto"/>
        <w:ind w:firstLine="420" w:firstLineChars="200"/>
        <w:rPr>
          <w:rFonts w:hint="eastAsia" w:ascii="宋体" w:hAnsi="宋体" w:cs="宋体"/>
          <w:szCs w:val="21"/>
        </w:rPr>
      </w:pPr>
      <w:r>
        <w:rPr>
          <w:rFonts w:hint="eastAsia" w:ascii="宋体" w:hAnsi="宋体" w:cs="宋体"/>
          <w:szCs w:val="21"/>
        </w:rPr>
        <w:t>2．乙方若逾期交付，违约金按每天赔偿合同总价的0.2%计算，一旦达到误期赔偿的最高限额，甲方可考虑终止合同。</w:t>
      </w:r>
    </w:p>
    <w:p>
      <w:pPr>
        <w:spacing w:line="360" w:lineRule="auto"/>
        <w:ind w:firstLine="420" w:firstLineChars="200"/>
        <w:rPr>
          <w:rFonts w:hint="eastAsia" w:ascii="宋体" w:hAnsi="宋体" w:cs="宋体"/>
          <w:szCs w:val="21"/>
        </w:rPr>
      </w:pPr>
      <w:r>
        <w:rPr>
          <w:rFonts w:hint="eastAsia" w:ascii="宋体" w:hAnsi="宋体" w:cs="宋体"/>
          <w:szCs w:val="21"/>
        </w:rPr>
        <w:t>八、不可抗力</w:t>
      </w:r>
    </w:p>
    <w:p>
      <w:pPr>
        <w:spacing w:line="360" w:lineRule="auto"/>
        <w:ind w:firstLine="420" w:firstLineChars="200"/>
        <w:rPr>
          <w:rFonts w:hint="eastAsia" w:ascii="宋体" w:hAnsi="宋体" w:cs="宋体"/>
          <w:szCs w:val="21"/>
        </w:rPr>
      </w:pPr>
      <w:r>
        <w:rPr>
          <w:rFonts w:hint="eastAsia" w:ascii="宋体" w:hAnsi="宋体" w:cs="宋体"/>
          <w:szCs w:val="21"/>
        </w:rPr>
        <w:t>1．如果任何一方由于自然灾害、战争、类似于战争的情况、禁令、骚乱、罢工、封锁和其他不可预见和不受控制的意外事故，而不能履行或迟延履行本合同的义务，则该方不应对另一方承担任何责任；</w:t>
      </w:r>
    </w:p>
    <w:p>
      <w:pPr>
        <w:spacing w:line="360" w:lineRule="auto"/>
        <w:ind w:firstLine="420" w:firstLineChars="200"/>
        <w:rPr>
          <w:rFonts w:hint="eastAsia" w:ascii="宋体" w:hAnsi="宋体" w:cs="宋体"/>
          <w:szCs w:val="21"/>
        </w:rPr>
      </w:pPr>
      <w:r>
        <w:rPr>
          <w:rFonts w:hint="eastAsia" w:ascii="宋体" w:hAnsi="宋体" w:cs="宋体"/>
          <w:szCs w:val="21"/>
        </w:rPr>
        <w:t>2．如果发生了不可抗力，受影响方应在不可抗力发生后的7天内及时通知另一方，并在不可抗力发生后的15天内提交由当地相关部门印发的用于证明不可抗力发生的文件材料。双方当事人应当协商并形成最佳解决方案，用于解决因不可抗力而导致的对本合同的迟延和中断履行。如果不可抗力持续严重影响本合同项下重要义务的履行达3个月之久，则任何一方均有权以书面形式提前30天通知终止本合同。</w:t>
      </w:r>
    </w:p>
    <w:p>
      <w:pPr>
        <w:spacing w:line="360" w:lineRule="auto"/>
        <w:ind w:firstLine="420" w:firstLineChars="200"/>
        <w:rPr>
          <w:rFonts w:hint="eastAsia" w:ascii="宋体" w:hAnsi="宋体" w:cs="宋体"/>
          <w:szCs w:val="21"/>
        </w:rPr>
      </w:pPr>
      <w:r>
        <w:rPr>
          <w:rFonts w:hint="eastAsia" w:ascii="宋体" w:hAnsi="宋体" w:cs="宋体"/>
          <w:szCs w:val="21"/>
        </w:rPr>
        <w:t>九、争议解决方式</w:t>
      </w:r>
    </w:p>
    <w:p>
      <w:pPr>
        <w:spacing w:line="360" w:lineRule="auto"/>
        <w:ind w:firstLine="420" w:firstLineChars="200"/>
        <w:rPr>
          <w:rFonts w:hint="eastAsia" w:ascii="宋体" w:hAnsi="宋体" w:cs="宋体"/>
          <w:szCs w:val="21"/>
        </w:rPr>
      </w:pPr>
      <w:r>
        <w:rPr>
          <w:rFonts w:hint="eastAsia" w:ascii="宋体" w:hAnsi="宋体" w:cs="宋体"/>
          <w:szCs w:val="21"/>
        </w:rPr>
        <w:t>甲乙双方通过友好协商，解决在执行本合同过程中所发生的或与本合同有关的一切争端。如从协商开始10个工作日内仍不能解决，双方可将争端提请诉讼。在协商或诉讼期间，本合同不涉及争议部分的条款，双方仍需履行。管辖法院为甲方所在地的法院。</w:t>
      </w:r>
    </w:p>
    <w:p>
      <w:pPr>
        <w:spacing w:line="360" w:lineRule="auto"/>
        <w:ind w:firstLine="420" w:firstLineChars="200"/>
        <w:rPr>
          <w:rFonts w:hint="eastAsia" w:ascii="宋体" w:hAnsi="宋体" w:cs="宋体"/>
          <w:szCs w:val="21"/>
        </w:rPr>
      </w:pPr>
      <w:r>
        <w:rPr>
          <w:rFonts w:hint="eastAsia" w:ascii="宋体" w:hAnsi="宋体" w:cs="宋体"/>
          <w:szCs w:val="21"/>
        </w:rPr>
        <w:t>十、其他约定事项</w:t>
      </w:r>
    </w:p>
    <w:p>
      <w:pPr>
        <w:spacing w:line="360" w:lineRule="auto"/>
        <w:ind w:firstLine="420" w:firstLineChars="200"/>
        <w:rPr>
          <w:rFonts w:hint="eastAsia" w:ascii="宋体" w:hAnsi="宋体" w:cs="宋体"/>
          <w:szCs w:val="21"/>
        </w:rPr>
      </w:pPr>
      <w:r>
        <w:rPr>
          <w:rFonts w:hint="eastAsia" w:ascii="宋体" w:hAnsi="宋体" w:cs="宋体"/>
          <w:szCs w:val="21"/>
        </w:rPr>
        <w:t>见证方仅对甲乙双方签订政府采购合同的事实进行见证，不代表任何承诺或保证，该合同的履行等相关情况均与见证方无任何关系。</w:t>
      </w:r>
    </w:p>
    <w:p>
      <w:pPr>
        <w:spacing w:line="360" w:lineRule="auto"/>
        <w:ind w:firstLine="420" w:firstLineChars="200"/>
        <w:rPr>
          <w:rFonts w:hint="eastAsia" w:ascii="宋体" w:hAnsi="宋体" w:cs="宋体"/>
          <w:szCs w:val="21"/>
        </w:rPr>
      </w:pPr>
      <w:r>
        <w:rPr>
          <w:rFonts w:hint="eastAsia" w:ascii="宋体" w:hAnsi="宋体" w:cs="宋体"/>
          <w:szCs w:val="21"/>
        </w:rPr>
        <w:t>十一、合同生效</w:t>
      </w:r>
    </w:p>
    <w:p>
      <w:pPr>
        <w:spacing w:line="360" w:lineRule="auto"/>
        <w:ind w:firstLine="420" w:firstLineChars="200"/>
        <w:rPr>
          <w:rFonts w:hint="eastAsia" w:ascii="宋体" w:hAnsi="宋体" w:cs="宋体"/>
          <w:szCs w:val="21"/>
        </w:rPr>
      </w:pPr>
      <w:r>
        <w:rPr>
          <w:rFonts w:hint="eastAsia" w:ascii="宋体" w:hAnsi="宋体" w:cs="宋体"/>
          <w:szCs w:val="21"/>
        </w:rPr>
        <w:t xml:space="preserve"> 本合同自甲乙方盖章签字及见证方盖章签字之日起生效，如有变动，必须经三方协商一致后，方可更改。本合同一式伍份，甲乙双方各执贰份，见证方执壹份。</w:t>
      </w:r>
    </w:p>
    <w:p>
      <w:pPr>
        <w:spacing w:line="360" w:lineRule="auto"/>
        <w:ind w:firstLine="420" w:firstLineChars="200"/>
        <w:rPr>
          <w:rFonts w:hint="eastAsia" w:ascii="宋体" w:hAnsi="宋体" w:cs="宋体"/>
          <w:szCs w:val="21"/>
        </w:rPr>
      </w:pPr>
      <w:r>
        <w:rPr>
          <w:rFonts w:hint="eastAsia" w:ascii="宋体" w:hAnsi="宋体" w:cs="宋体"/>
          <w:szCs w:val="21"/>
        </w:rPr>
        <w:t>其他未尽事宜，参照相关法律，双方协商解决。</w:t>
      </w:r>
    </w:p>
    <w:p>
      <w:pPr>
        <w:spacing w:line="360" w:lineRule="auto"/>
        <w:ind w:left="4958" w:hanging="4958" w:hangingChars="2352"/>
        <w:jc w:val="left"/>
        <w:rPr>
          <w:rFonts w:hint="eastAsia" w:ascii="宋体" w:hAnsi="宋体" w:cs="宋体"/>
          <w:b/>
          <w:bCs/>
          <w:szCs w:val="21"/>
        </w:rPr>
      </w:pPr>
    </w:p>
    <w:p>
      <w:pPr>
        <w:spacing w:line="360" w:lineRule="auto"/>
        <w:ind w:left="4958" w:hanging="4958" w:hangingChars="2352"/>
        <w:jc w:val="left"/>
        <w:rPr>
          <w:rFonts w:hint="eastAsia" w:ascii="宋体" w:hAnsi="宋体" w:cs="宋体"/>
          <w:b/>
          <w:bCs/>
          <w:szCs w:val="21"/>
        </w:rPr>
      </w:pPr>
    </w:p>
    <w:p>
      <w:pPr>
        <w:spacing w:line="360" w:lineRule="auto"/>
        <w:ind w:left="4958" w:hanging="4958" w:hangingChars="2352"/>
        <w:jc w:val="left"/>
        <w:rPr>
          <w:rFonts w:hint="eastAsia" w:ascii="宋体" w:hAnsi="宋体" w:cs="宋体"/>
          <w:b/>
          <w:bCs/>
          <w:szCs w:val="21"/>
        </w:rPr>
      </w:pPr>
    </w:p>
    <w:p>
      <w:pPr>
        <w:spacing w:line="360" w:lineRule="auto"/>
        <w:ind w:left="4958" w:hanging="4958" w:hangingChars="2352"/>
        <w:jc w:val="left"/>
        <w:rPr>
          <w:rFonts w:hint="eastAsia" w:ascii="宋体" w:hAnsi="宋体" w:cs="宋体"/>
          <w:bCs/>
          <w:szCs w:val="21"/>
        </w:rPr>
      </w:pPr>
      <w:r>
        <w:rPr>
          <w:rFonts w:hint="eastAsia" w:ascii="宋体" w:hAnsi="宋体" w:cs="宋体"/>
          <w:b/>
          <w:bCs/>
          <w:szCs w:val="21"/>
        </w:rPr>
        <w:t>甲方：（盖章）              乙方：（盖章）</w:t>
      </w:r>
      <w:r>
        <w:rPr>
          <w:rFonts w:hint="eastAsia" w:ascii="宋体" w:hAnsi="宋体" w:cs="宋体"/>
          <w:bCs/>
          <w:szCs w:val="21"/>
        </w:rPr>
        <w:t xml:space="preserve"> </w:t>
      </w:r>
    </w:p>
    <w:p>
      <w:pPr>
        <w:spacing w:line="360" w:lineRule="auto"/>
        <w:jc w:val="left"/>
        <w:rPr>
          <w:rFonts w:hint="eastAsia" w:ascii="宋体" w:hAnsi="宋体" w:cs="宋体"/>
          <w:bCs/>
          <w:szCs w:val="21"/>
        </w:rPr>
      </w:pPr>
      <w:r>
        <w:rPr>
          <w:rFonts w:hint="eastAsia" w:ascii="宋体" w:hAnsi="宋体" w:cs="宋体"/>
          <w:bCs/>
          <w:szCs w:val="21"/>
        </w:rPr>
        <w:t>法定代表人或委托代理人：              法定代表人或委托代理人：</w:t>
      </w:r>
    </w:p>
    <w:p>
      <w:pPr>
        <w:spacing w:line="360" w:lineRule="auto"/>
        <w:jc w:val="left"/>
        <w:rPr>
          <w:rFonts w:hint="eastAsia" w:ascii="宋体" w:hAnsi="宋体" w:cs="宋体"/>
          <w:bCs/>
          <w:szCs w:val="21"/>
        </w:rPr>
      </w:pPr>
    </w:p>
    <w:p>
      <w:pPr>
        <w:spacing w:line="360" w:lineRule="auto"/>
        <w:jc w:val="left"/>
        <w:rPr>
          <w:rFonts w:hint="eastAsia" w:ascii="宋体" w:hAnsi="宋体" w:cs="宋体"/>
          <w:bCs/>
          <w:szCs w:val="21"/>
        </w:rPr>
      </w:pPr>
      <w:r>
        <w:rPr>
          <w:rFonts w:hint="eastAsia" w:ascii="宋体" w:hAnsi="宋体" w:cs="宋体"/>
          <w:bCs/>
          <w:szCs w:val="21"/>
        </w:rPr>
        <w:t xml:space="preserve">经办人：                              经办人： </w:t>
      </w:r>
    </w:p>
    <w:p>
      <w:pPr>
        <w:spacing w:line="360" w:lineRule="auto"/>
        <w:jc w:val="left"/>
        <w:rPr>
          <w:rFonts w:hint="eastAsia" w:ascii="宋体" w:hAnsi="宋体" w:cs="宋体"/>
          <w:bCs/>
          <w:szCs w:val="21"/>
        </w:rPr>
      </w:pPr>
    </w:p>
    <w:p>
      <w:pPr>
        <w:spacing w:line="360" w:lineRule="auto"/>
        <w:ind w:left="4200" w:hanging="4200" w:hangingChars="2000"/>
        <w:jc w:val="left"/>
        <w:rPr>
          <w:rFonts w:hint="eastAsia" w:ascii="宋体" w:hAnsi="宋体" w:cs="宋体"/>
          <w:bCs/>
          <w:szCs w:val="21"/>
        </w:rPr>
      </w:pPr>
      <w:r>
        <w:rPr>
          <w:rFonts w:hint="eastAsia" w:ascii="宋体" w:hAnsi="宋体" w:cs="宋体"/>
          <w:bCs/>
          <w:szCs w:val="21"/>
        </w:rPr>
        <w:t xml:space="preserve">地址：                                地址： </w:t>
      </w:r>
    </w:p>
    <w:p>
      <w:pPr>
        <w:adjustRightInd w:val="0"/>
        <w:snapToGrid w:val="0"/>
        <w:rPr>
          <w:rFonts w:hint="eastAsia" w:ascii="宋体" w:hAnsi="宋体" w:cs="宋体"/>
          <w:bCs/>
          <w:szCs w:val="21"/>
        </w:rPr>
      </w:pPr>
      <w:r>
        <w:rPr>
          <w:rFonts w:hint="eastAsia" w:ascii="宋体" w:hAnsi="宋体" w:cs="宋体"/>
          <w:bCs/>
          <w:szCs w:val="21"/>
        </w:rPr>
        <w:t xml:space="preserve">电话:                                 电话:  </w:t>
      </w:r>
    </w:p>
    <w:p>
      <w:pPr>
        <w:autoSpaceDE w:val="0"/>
        <w:autoSpaceDN w:val="0"/>
        <w:adjustRightInd w:val="0"/>
        <w:spacing w:line="400" w:lineRule="exact"/>
        <w:rPr>
          <w:rFonts w:hint="eastAsia" w:ascii="宋体" w:hAnsi="宋体" w:cs="宋体"/>
          <w:bCs/>
          <w:szCs w:val="21"/>
        </w:rPr>
      </w:pPr>
      <w:r>
        <w:rPr>
          <w:rFonts w:hint="eastAsia" w:ascii="宋体" w:hAnsi="宋体" w:cs="宋体"/>
          <w:bCs/>
          <w:szCs w:val="21"/>
        </w:rPr>
        <w:t>开具发票信息：</w:t>
      </w:r>
    </w:p>
    <w:p>
      <w:pPr>
        <w:adjustRightInd w:val="0"/>
        <w:snapToGrid w:val="0"/>
        <w:spacing w:line="360" w:lineRule="auto"/>
        <w:ind w:left="5145" w:hanging="5145" w:hangingChars="2450"/>
        <w:rPr>
          <w:rFonts w:hint="eastAsia" w:ascii="宋体" w:hAnsi="宋体" w:cs="宋体"/>
          <w:bCs/>
          <w:szCs w:val="21"/>
        </w:rPr>
      </w:pPr>
      <w:r>
        <w:rPr>
          <w:rFonts w:hint="eastAsia" w:ascii="宋体" w:hAnsi="宋体" w:cs="宋体"/>
          <w:bCs/>
          <w:szCs w:val="21"/>
        </w:rPr>
        <w:t xml:space="preserve">单位名称：                            单位名称： </w:t>
      </w:r>
    </w:p>
    <w:p>
      <w:pPr>
        <w:adjustRightInd w:val="0"/>
        <w:snapToGrid w:val="0"/>
        <w:spacing w:line="360" w:lineRule="auto"/>
        <w:rPr>
          <w:rFonts w:hint="eastAsia" w:ascii="宋体" w:hAnsi="宋体" w:cs="宋体"/>
          <w:bCs/>
          <w:szCs w:val="21"/>
        </w:rPr>
      </w:pPr>
      <w:r>
        <w:rPr>
          <w:rFonts w:hint="eastAsia" w:ascii="宋体" w:hAnsi="宋体" w:cs="宋体"/>
          <w:bCs/>
          <w:szCs w:val="21"/>
        </w:rPr>
        <w:t>银行账号：                            银行账号：</w:t>
      </w:r>
    </w:p>
    <w:p>
      <w:pPr>
        <w:adjustRightInd w:val="0"/>
        <w:snapToGrid w:val="0"/>
        <w:spacing w:line="360" w:lineRule="auto"/>
        <w:ind w:left="4935" w:leftChars="250" w:hanging="4410" w:hangingChars="2100"/>
        <w:rPr>
          <w:rFonts w:hint="eastAsia" w:ascii="宋体" w:hAnsi="宋体" w:cs="宋体"/>
          <w:bCs/>
          <w:szCs w:val="21"/>
        </w:rPr>
      </w:pPr>
      <w:r>
        <w:rPr>
          <w:rFonts w:hint="eastAsia" w:ascii="宋体" w:hAnsi="宋体" w:cs="宋体"/>
          <w:bCs/>
          <w:szCs w:val="21"/>
        </w:rPr>
        <w:t xml:space="preserve">                     </w:t>
      </w:r>
    </w:p>
    <w:p>
      <w:pPr>
        <w:adjustRightInd w:val="0"/>
        <w:snapToGrid w:val="0"/>
        <w:spacing w:line="360" w:lineRule="auto"/>
        <w:ind w:left="4725" w:hanging="4725" w:hangingChars="2250"/>
        <w:rPr>
          <w:rFonts w:hint="eastAsia" w:ascii="宋体" w:hAnsi="宋体" w:cs="宋体"/>
          <w:bCs/>
          <w:szCs w:val="21"/>
        </w:rPr>
      </w:pPr>
      <w:r>
        <w:rPr>
          <w:rFonts w:hint="eastAsia" w:ascii="宋体" w:hAnsi="宋体" w:cs="宋体"/>
          <w:bCs/>
          <w:szCs w:val="21"/>
        </w:rPr>
        <w:t xml:space="preserve">开户行：           开户行： </w:t>
      </w:r>
    </w:p>
    <w:p>
      <w:pPr>
        <w:adjustRightInd w:val="0"/>
        <w:snapToGrid w:val="0"/>
        <w:spacing w:line="360" w:lineRule="auto"/>
        <w:rPr>
          <w:rFonts w:hint="eastAsia" w:ascii="宋体" w:hAnsi="宋体" w:cs="宋体"/>
          <w:bCs/>
          <w:szCs w:val="21"/>
        </w:rPr>
      </w:pPr>
      <w:r>
        <w:rPr>
          <w:rFonts w:hint="eastAsia" w:ascii="宋体" w:hAnsi="宋体" w:cs="宋体"/>
          <w:bCs/>
          <w:szCs w:val="21"/>
        </w:rPr>
        <w:t xml:space="preserve">统一社会信用代码（税号）：            银行行号： </w:t>
      </w:r>
    </w:p>
    <w:p>
      <w:pPr>
        <w:adjustRightInd w:val="0"/>
        <w:snapToGrid w:val="0"/>
        <w:spacing w:line="360" w:lineRule="auto"/>
        <w:ind w:firstLine="2730" w:firstLineChars="1300"/>
        <w:rPr>
          <w:rFonts w:hint="eastAsia" w:ascii="宋体" w:hAnsi="宋体" w:cs="宋体"/>
          <w:bCs/>
          <w:szCs w:val="21"/>
        </w:rPr>
      </w:pPr>
      <w:r>
        <w:rPr>
          <w:rFonts w:hint="eastAsia" w:ascii="宋体" w:hAnsi="宋体" w:cs="宋体"/>
          <w:bCs/>
          <w:szCs w:val="21"/>
        </w:rPr>
        <w:t xml:space="preserve">            统一社会信用代码（税号）：</w:t>
      </w:r>
    </w:p>
    <w:p>
      <w:pPr>
        <w:pStyle w:val="2"/>
        <w:rPr>
          <w:rFonts w:hint="eastAsia" w:hAnsi="宋体"/>
          <w:bCs/>
          <w:color w:val="auto"/>
          <w:kern w:val="2"/>
          <w:sz w:val="21"/>
          <w:szCs w:val="21"/>
        </w:rPr>
      </w:pPr>
      <w:r>
        <w:rPr>
          <w:rFonts w:hint="eastAsia" w:hAnsi="宋体"/>
          <w:color w:val="auto"/>
          <w:sz w:val="21"/>
          <w:szCs w:val="21"/>
        </w:rPr>
        <w:t xml:space="preserve">                                      </w:t>
      </w:r>
    </w:p>
    <w:p>
      <w:pPr>
        <w:spacing w:line="360" w:lineRule="auto"/>
        <w:rPr>
          <w:rFonts w:hint="eastAsia" w:ascii="宋体" w:hAnsi="宋体" w:cs="宋体"/>
          <w:szCs w:val="21"/>
        </w:rPr>
      </w:pPr>
      <w:r>
        <w:rPr>
          <w:rFonts w:hint="eastAsia" w:ascii="宋体" w:hAnsi="宋体" w:cs="宋体"/>
          <w:szCs w:val="21"/>
        </w:rPr>
        <w:t>见证方：</w:t>
      </w:r>
      <w:r>
        <w:rPr>
          <w:rFonts w:hint="eastAsia" w:ascii="宋体" w:hAnsi="宋体" w:cs="宋体"/>
          <w:szCs w:val="21"/>
          <w:lang w:val="zh-TW" w:eastAsia="zh-TW"/>
        </w:rPr>
        <w:t>代理机构（章）</w:t>
      </w:r>
      <w:r>
        <w:rPr>
          <w:rFonts w:hint="eastAsia" w:ascii="宋体" w:hAnsi="宋体" w:cs="宋体"/>
          <w:szCs w:val="21"/>
        </w:rPr>
        <w:t>:</w:t>
      </w:r>
      <w:r>
        <w:rPr>
          <w:rFonts w:hint="eastAsia" w:ascii="宋体" w:hAnsi="宋体" w:cs="宋体"/>
          <w:szCs w:val="21"/>
          <w:lang w:val="zh-TW"/>
        </w:rPr>
        <w:t>江苏常信招标代理有限公司</w:t>
      </w:r>
      <w:r>
        <w:rPr>
          <w:rFonts w:hint="eastAsia" w:ascii="宋体" w:hAnsi="宋体" w:cs="宋体"/>
          <w:szCs w:val="21"/>
        </w:rPr>
        <w:t xml:space="preserve">    </w:t>
      </w:r>
    </w:p>
    <w:p>
      <w:pPr>
        <w:spacing w:line="360" w:lineRule="auto"/>
        <w:rPr>
          <w:rFonts w:hint="eastAsia" w:ascii="宋体" w:hAnsi="宋体" w:cs="宋体"/>
          <w:szCs w:val="21"/>
          <w:lang w:val="zh-TW" w:eastAsia="zh-TW"/>
        </w:rPr>
      </w:pPr>
      <w:r>
        <w:rPr>
          <w:rFonts w:hint="eastAsia" w:ascii="宋体" w:hAnsi="宋体" w:cs="宋体"/>
          <w:szCs w:val="21"/>
          <w:lang w:val="zh-TW" w:eastAsia="zh-TW"/>
        </w:rPr>
        <w:t>法定代表人：</w:t>
      </w:r>
    </w:p>
    <w:p>
      <w:pPr>
        <w:spacing w:line="360" w:lineRule="auto"/>
        <w:rPr>
          <w:rFonts w:hint="eastAsia" w:ascii="宋体" w:hAnsi="宋体" w:cs="宋体"/>
          <w:szCs w:val="21"/>
          <w:lang w:val="zh-TW" w:eastAsia="zh-TW"/>
        </w:rPr>
      </w:pPr>
      <w:r>
        <w:rPr>
          <w:rFonts w:hint="eastAsia" w:ascii="宋体" w:hAnsi="宋体" w:cs="宋体"/>
          <w:szCs w:val="21"/>
          <w:lang w:val="zh-TW" w:eastAsia="zh-TW"/>
        </w:rPr>
        <w:t>经办人：</w:t>
      </w:r>
    </w:p>
    <w:p>
      <w:pPr>
        <w:adjustRightInd w:val="0"/>
        <w:snapToGrid w:val="0"/>
        <w:spacing w:line="312" w:lineRule="auto"/>
        <w:jc w:val="left"/>
        <w:rPr>
          <w:rFonts w:hint="eastAsia" w:ascii="宋体" w:hAnsi="宋体" w:cs="宋体"/>
          <w:szCs w:val="21"/>
          <w:lang w:val="zh-TW" w:eastAsia="zh-TW"/>
        </w:rPr>
      </w:pPr>
      <w:r>
        <w:rPr>
          <w:rFonts w:hint="eastAsia" w:ascii="宋体" w:hAnsi="宋体" w:cs="宋体"/>
          <w:szCs w:val="21"/>
          <w:lang w:val="zh-TW" w:eastAsia="zh-TW"/>
        </w:rPr>
        <w:t>电话：</w:t>
      </w:r>
    </w:p>
    <w:p>
      <w:pPr>
        <w:pStyle w:val="24"/>
        <w:spacing w:line="360" w:lineRule="exact"/>
        <w:rPr>
          <w:rFonts w:hint="eastAsia" w:cs="宋体"/>
          <w:b/>
          <w:sz w:val="21"/>
          <w:szCs w:val="21"/>
        </w:rPr>
      </w:pPr>
    </w:p>
    <w:p>
      <w:pPr>
        <w:pStyle w:val="24"/>
        <w:spacing w:line="360" w:lineRule="exact"/>
        <w:ind w:firstLine="422" w:firstLineChars="200"/>
        <w:rPr>
          <w:rFonts w:hint="eastAsia" w:cs="宋体"/>
          <w:b/>
          <w:sz w:val="21"/>
          <w:szCs w:val="21"/>
        </w:rPr>
      </w:pPr>
      <w:r>
        <w:rPr>
          <w:rFonts w:hint="eastAsia" w:cs="宋体"/>
          <w:b/>
          <w:sz w:val="21"/>
          <w:szCs w:val="21"/>
        </w:rPr>
        <w:t>以上是合同的简易模版，仅供甲乙双方签订合同时参考，具体条款详见采购文件中所对应的采购内容及要求，其余条款按照《中华人民共和国民法典》、《中华人民共和国政府采购法》及其他有关法律、行政法规以及省、市、区规范性文件规定，由甲乙双方协商一致后自拟合同。</w:t>
      </w:r>
    </w:p>
    <w:p>
      <w:pPr>
        <w:pStyle w:val="256"/>
        <w:spacing w:line="360" w:lineRule="auto"/>
        <w:ind w:firstLine="422" w:firstLineChars="200"/>
        <w:rPr>
          <w:rFonts w:ascii="宋体" w:hAnsi="宋体" w:eastAsia="宋体"/>
          <w:b/>
          <w:sz w:val="21"/>
        </w:rPr>
      </w:pPr>
    </w:p>
    <w:p>
      <w:pPr>
        <w:rPr>
          <w:rFonts w:hint="eastAsia" w:ascii="宋体" w:hAnsi="宋体" w:eastAsia="宋体" w:cs="宋体"/>
          <w:b/>
          <w:color w:val="auto"/>
          <w:sz w:val="32"/>
          <w:szCs w:val="32"/>
          <w:highlight w:val="none"/>
        </w:rPr>
      </w:pPr>
    </w:p>
    <w:p>
      <w:pPr>
        <w:pStyle w:val="82"/>
        <w:ind w:left="0" w:leftChars="0" w:firstLine="0" w:firstLineChars="0"/>
        <w:rPr>
          <w:rFonts w:hint="eastAsia" w:ascii="宋体" w:hAnsi="宋体" w:eastAsia="宋体" w:cs="宋体"/>
          <w:b/>
          <w:color w:val="auto"/>
          <w:sz w:val="32"/>
          <w:szCs w:val="32"/>
          <w:highlight w:val="none"/>
        </w:rPr>
      </w:pPr>
    </w:p>
    <w:p>
      <w:pPr>
        <w:spacing w:line="360" w:lineRule="auto"/>
        <w:jc w:val="center"/>
        <w:outlineLvl w:val="0"/>
        <w:rPr>
          <w:rFonts w:hint="eastAsia" w:ascii="宋体" w:hAnsi="宋体" w:eastAsia="宋体" w:cs="宋体"/>
          <w:b/>
          <w:color w:val="auto"/>
          <w:sz w:val="32"/>
          <w:szCs w:val="32"/>
          <w:highlight w:val="none"/>
        </w:rPr>
      </w:pPr>
    </w:p>
    <w:p>
      <w:pPr>
        <w:pStyle w:val="6"/>
        <w:rPr>
          <w:rFonts w:hint="eastAsia" w:ascii="宋体" w:hAnsi="宋体" w:eastAsia="宋体" w:cs="宋体"/>
          <w:b w:val="0"/>
          <w:color w:val="auto"/>
          <w:sz w:val="32"/>
          <w:szCs w:val="32"/>
          <w:highlight w:val="none"/>
        </w:rPr>
      </w:pPr>
    </w:p>
    <w:p>
      <w:pPr>
        <w:rPr>
          <w:rFonts w:hint="eastAsia" w:ascii="宋体" w:hAnsi="宋体" w:eastAsia="宋体" w:cs="宋体"/>
          <w:b/>
          <w:color w:val="auto"/>
          <w:sz w:val="32"/>
          <w:szCs w:val="32"/>
          <w:highlight w:val="none"/>
        </w:rPr>
      </w:pPr>
    </w:p>
    <w:p>
      <w:pPr>
        <w:pStyle w:val="6"/>
        <w:rPr>
          <w:rFonts w:hint="eastAsia" w:ascii="宋体" w:hAnsi="宋体" w:eastAsia="宋体" w:cs="宋体"/>
          <w:b w:val="0"/>
          <w:color w:val="auto"/>
          <w:sz w:val="32"/>
          <w:szCs w:val="32"/>
          <w:highlight w:val="none"/>
        </w:rPr>
      </w:pPr>
    </w:p>
    <w:p>
      <w:pPr>
        <w:spacing w:line="360" w:lineRule="auto"/>
        <w:jc w:val="both"/>
        <w:outlineLvl w:val="0"/>
        <w:rPr>
          <w:rFonts w:hint="eastAsia" w:ascii="宋体" w:hAnsi="宋体" w:eastAsia="宋体" w:cs="宋体"/>
          <w:b/>
          <w:color w:val="auto"/>
          <w:sz w:val="32"/>
          <w:szCs w:val="32"/>
          <w:highlight w:val="none"/>
        </w:rPr>
      </w:pPr>
    </w:p>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第六章   响应文件格式</w:t>
      </w:r>
      <w:bookmarkEnd w:id="178"/>
    </w:p>
    <w:p>
      <w:pPr>
        <w:tabs>
          <w:tab w:val="left" w:pos="900"/>
          <w:tab w:val="left" w:pos="1980"/>
        </w:tabs>
        <w:snapToGrid w:val="0"/>
        <w:spacing w:line="360" w:lineRule="auto"/>
        <w:ind w:left="14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供应商编制文件须知</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1、供应商按照本部分的顺序编制响应文件，编制中涉及格式资料的，应按照本部分提供的内容和格式（所有表格的格式可扩展）填写提交。</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142"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对于竞争性磋商文件中标记了“实质性格式”文件的，供应商</w:t>
      </w:r>
      <w:r>
        <w:rPr>
          <w:rFonts w:hint="eastAsia" w:ascii="宋体" w:hAnsi="宋体" w:eastAsia="宋体" w:cs="宋体"/>
          <w:color w:val="auto"/>
          <w:sz w:val="21"/>
          <w:szCs w:val="21"/>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val="0"/>
          <w:bCs/>
          <w:color w:val="auto"/>
          <w:kern w:val="0"/>
          <w:sz w:val="21"/>
          <w:szCs w:val="21"/>
          <w:highlight w:val="none"/>
        </w:rPr>
        <w:t>否则</w:t>
      </w:r>
      <w:r>
        <w:rPr>
          <w:rFonts w:hint="eastAsia" w:ascii="宋体" w:hAnsi="宋体" w:eastAsia="宋体" w:cs="宋体"/>
          <w:b/>
          <w:color w:val="auto"/>
          <w:kern w:val="0"/>
          <w:sz w:val="21"/>
          <w:szCs w:val="21"/>
          <w:highlight w:val="none"/>
        </w:rPr>
        <w:t>响应无效</w:t>
      </w:r>
      <w:r>
        <w:rPr>
          <w:rFonts w:hint="eastAsia" w:ascii="宋体" w:hAnsi="宋体" w:eastAsia="宋体" w:cs="宋体"/>
          <w:color w:val="auto"/>
          <w:kern w:val="0"/>
          <w:sz w:val="21"/>
          <w:szCs w:val="21"/>
          <w:highlight w:val="none"/>
        </w:rPr>
        <w:t>。未标记“实质性格式”的文件和竞争性磋商文件未提供格式的内容，可由供应商自行编写。</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3、全部声明和问题的回答及所附材料必须是真实的、准确的和完整的。</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4、实行电子化不见面交易方式的，加盖公章、签名等均通过响应文件编制工具加盖电子公章、签字、签章或印鉴。</w:t>
      </w:r>
    </w:p>
    <w:p>
      <w:pPr>
        <w:widowControl/>
        <w:jc w:val="left"/>
        <w:rPr>
          <w:rFonts w:hint="eastAsia" w:ascii="宋体" w:hAnsi="宋体" w:eastAsia="宋体" w:cs="宋体"/>
          <w:b/>
          <w:color w:val="auto"/>
          <w:spacing w:val="20"/>
          <w:sz w:val="21"/>
          <w:szCs w:val="21"/>
          <w:highlight w:val="none"/>
        </w:rPr>
      </w:pPr>
    </w:p>
    <w:p>
      <w:pPr>
        <w:rPr>
          <w:rFonts w:hint="eastAsia" w:ascii="宋体" w:hAnsi="宋体" w:eastAsia="宋体" w:cs="宋体"/>
          <w:b/>
          <w:color w:val="auto"/>
          <w:spacing w:val="20"/>
          <w:sz w:val="21"/>
          <w:szCs w:val="21"/>
          <w:highlight w:val="none"/>
        </w:rPr>
      </w:pPr>
    </w:p>
    <w:p>
      <w:pPr>
        <w:rPr>
          <w:rFonts w:hint="eastAsia" w:ascii="宋体" w:hAnsi="宋体" w:eastAsia="宋体" w:cs="宋体"/>
          <w:b/>
          <w:color w:val="auto"/>
          <w:spacing w:val="20"/>
          <w:sz w:val="21"/>
          <w:szCs w:val="21"/>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pStyle w:val="82"/>
        <w:rPr>
          <w:rFonts w:hint="eastAsia"/>
          <w:color w:val="auto"/>
          <w:highlight w:val="none"/>
        </w:rPr>
      </w:pPr>
    </w:p>
    <w:p>
      <w:pPr>
        <w:rPr>
          <w:rFonts w:hint="eastAsia" w:ascii="宋体" w:hAnsi="宋体" w:eastAsia="宋体" w:cs="宋体"/>
          <w:b/>
          <w:color w:val="auto"/>
          <w:spacing w:val="20"/>
          <w:sz w:val="24"/>
          <w:highlight w:val="none"/>
        </w:rPr>
      </w:pPr>
    </w:p>
    <w:p>
      <w:pPr>
        <w:pStyle w:val="82"/>
        <w:rPr>
          <w:rFonts w:hint="eastAsia" w:ascii="宋体" w:hAnsi="宋体" w:eastAsia="宋体" w:cs="宋体"/>
          <w:b/>
          <w:color w:val="auto"/>
          <w:spacing w:val="20"/>
          <w:sz w:val="24"/>
          <w:highlight w:val="none"/>
        </w:rPr>
      </w:pPr>
    </w:p>
    <w:p>
      <w:pPr>
        <w:rPr>
          <w:rFonts w:hint="eastAsia" w:ascii="宋体" w:hAnsi="宋体" w:eastAsia="宋体" w:cs="宋体"/>
          <w:b/>
          <w:color w:val="auto"/>
          <w:spacing w:val="20"/>
          <w:sz w:val="24"/>
          <w:highlight w:val="none"/>
        </w:rPr>
      </w:pPr>
    </w:p>
    <w:p>
      <w:pPr>
        <w:pStyle w:val="82"/>
        <w:rPr>
          <w:rFonts w:hint="eastAsia"/>
          <w:color w:val="auto"/>
          <w:highlight w:val="none"/>
        </w:rPr>
      </w:pPr>
    </w:p>
    <w:p>
      <w:pPr>
        <w:rPr>
          <w:rFonts w:hint="eastAsia" w:ascii="宋体" w:hAnsi="宋体" w:eastAsia="宋体" w:cs="宋体"/>
          <w:b/>
          <w:color w:val="auto"/>
          <w:spacing w:val="20"/>
          <w:sz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72"/>
          <w:szCs w:val="72"/>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72"/>
          <w:szCs w:val="72"/>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42" w:firstLineChars="150"/>
        <w:textAlignment w:val="auto"/>
        <w:rPr>
          <w:rFonts w:hint="eastAsia" w:ascii="宋体" w:hAnsi="宋体" w:eastAsia="宋体" w:cs="宋体"/>
          <w:b/>
          <w:color w:val="auto"/>
          <w:spacing w:val="2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供应商名称 ：</w:t>
      </w:r>
      <w:r>
        <w:rPr>
          <w:rFonts w:hint="eastAsia" w:ascii="宋体" w:hAnsi="宋体" w:eastAsia="宋体" w:cs="宋体"/>
          <w:b/>
          <w:color w:val="auto"/>
          <w:sz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      期 ：</w:t>
      </w:r>
      <w:r>
        <w:rPr>
          <w:rFonts w:hint="eastAsia" w:ascii="宋体" w:hAnsi="宋体" w:eastAsia="宋体" w:cs="宋体"/>
          <w:b/>
          <w:color w:val="auto"/>
          <w:sz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满足《中华人民共和国政府采购法》第二十二条规定及法律法规的其他规定</w:t>
      </w:r>
    </w:p>
    <w:p>
      <w:pPr>
        <w:pStyle w:val="82"/>
        <w:pageBreakBefore w:val="0"/>
        <w:widowControl w:val="0"/>
        <w:kinsoku/>
        <w:wordWrap/>
        <w:overflowPunct/>
        <w:topLinePunct w:val="0"/>
        <w:bidi w:val="0"/>
        <w:snapToGrid/>
        <w:spacing w:before="0" w:line="360" w:lineRule="auto"/>
        <w:ind w:left="0" w:leftChars="0" w:firstLine="0" w:firstLineChars="0"/>
        <w:textAlignment w:val="auto"/>
        <w:rPr>
          <w:rFonts w:hint="default" w:ascii="宋体" w:hAnsi="宋体" w:eastAsia="宋体" w:cs="宋体"/>
          <w:b/>
          <w:bCs w:val="0"/>
          <w:color w:val="auto"/>
          <w:kern w:val="0"/>
          <w:sz w:val="21"/>
          <w:szCs w:val="21"/>
          <w:highlight w:val="none"/>
          <w:u w:val="none"/>
          <w:lang w:val="en-US" w:eastAsia="zh-CN" w:bidi="ar-SA"/>
        </w:rPr>
      </w:pPr>
      <w:r>
        <w:rPr>
          <w:rFonts w:hint="eastAsia" w:ascii="宋体" w:hAnsi="宋体" w:eastAsia="宋体" w:cs="宋体"/>
          <w:b/>
          <w:bCs w:val="0"/>
          <w:color w:val="auto"/>
          <w:kern w:val="0"/>
          <w:sz w:val="21"/>
          <w:szCs w:val="21"/>
          <w:highlight w:val="none"/>
          <w:u w:val="none"/>
          <w:lang w:val="en-US" w:eastAsia="zh-CN" w:bidi="ar-SA"/>
        </w:rPr>
        <w:t>1-1有效的法人或者其他组织的营业执照等证明文件复印件</w:t>
      </w:r>
    </w:p>
    <w:p>
      <w:pPr>
        <w:pStyle w:val="6"/>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1-</w:t>
      </w:r>
      <w:r>
        <w:rPr>
          <w:rFonts w:hint="eastAsia" w:hAnsi="宋体" w:eastAsia="宋体" w:cs="宋体"/>
          <w:b/>
          <w:bCs/>
          <w:color w:val="auto"/>
          <w:sz w:val="21"/>
          <w:szCs w:val="21"/>
          <w:highlight w:val="none"/>
          <w:u w:val="none"/>
          <w:lang w:val="en-US" w:eastAsia="zh-CN"/>
        </w:rPr>
        <w:t>2</w:t>
      </w:r>
      <w:r>
        <w:rPr>
          <w:rFonts w:hint="eastAsia" w:ascii="宋体" w:hAnsi="宋体" w:eastAsia="宋体" w:cs="宋体"/>
          <w:b/>
          <w:bCs/>
          <w:color w:val="auto"/>
          <w:sz w:val="21"/>
          <w:szCs w:val="21"/>
          <w:highlight w:val="none"/>
          <w:u w:val="none"/>
        </w:rPr>
        <w:t xml:space="preserve"> 供应商资格声明函（实质性格式）</w:t>
      </w:r>
    </w:p>
    <w:p>
      <w:pPr>
        <w:widowControl/>
        <w:adjustRightInd w:val="0"/>
        <w:snapToGrid w:val="0"/>
        <w:spacing w:before="120" w:beforeLines="50" w:line="360" w:lineRule="auto"/>
        <w:jc w:val="center"/>
        <w:rPr>
          <w:rFonts w:hint="eastAsia" w:ascii="宋体" w:hAnsi="宋体" w:eastAsia="宋体" w:cs="宋体"/>
          <w:b/>
          <w:color w:val="auto"/>
          <w:sz w:val="21"/>
          <w:szCs w:val="21"/>
          <w:highlight w:val="none"/>
        </w:rPr>
      </w:pPr>
    </w:p>
    <w:p>
      <w:pPr>
        <w:widowControl/>
        <w:adjustRightInd w:val="0"/>
        <w:snapToGrid w:val="0"/>
        <w:spacing w:before="120"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供应商资格声明函</w:t>
      </w:r>
    </w:p>
    <w:p>
      <w:pPr>
        <w:pStyle w:val="5"/>
        <w:spacing w:line="460" w:lineRule="exact"/>
        <w:ind w:firstLine="480"/>
        <w:rPr>
          <w:rFonts w:hint="eastAsia" w:ascii="宋体" w:hAnsi="宋体" w:eastAsia="宋体" w:cs="宋体"/>
          <w:color w:val="auto"/>
          <w:sz w:val="21"/>
          <w:szCs w:val="21"/>
          <w:highlight w:val="none"/>
        </w:rPr>
      </w:pPr>
    </w:p>
    <w:p>
      <w:pPr>
        <w:pStyle w:val="5"/>
        <w:spacing w:line="460" w:lineRule="exact"/>
        <w:ind w:left="0" w:leftChars="0" w:firstLine="0" w:firstLineChars="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致：</w:t>
      </w:r>
      <w:r>
        <w:rPr>
          <w:rFonts w:hint="eastAsia" w:hAnsi="宋体" w:eastAsia="宋体" w:cs="宋体"/>
          <w:color w:val="auto"/>
          <w:sz w:val="21"/>
          <w:szCs w:val="21"/>
          <w:highlight w:val="none"/>
          <w:u w:val="single"/>
          <w:lang w:eastAsia="zh-CN"/>
        </w:rPr>
        <w:t>常州市体育局</w:t>
      </w:r>
    </w:p>
    <w:p>
      <w:pPr>
        <w:pStyle w:val="5"/>
        <w:spacing w:line="460" w:lineRule="exact"/>
        <w:ind w:left="0" w:leftChars="0" w:firstLine="420" w:firstLineChars="200"/>
        <w:rPr>
          <w:rFonts w:hint="eastAsia" w:ascii="宋体" w:hAnsi="宋体" w:eastAsia="宋体" w:cs="宋体"/>
          <w:color w:val="auto"/>
          <w:sz w:val="21"/>
          <w:szCs w:val="21"/>
          <w:highlight w:val="none"/>
          <w:u w:val="single"/>
          <w:lang w:eastAsia="zh-CN"/>
        </w:rPr>
      </w:pPr>
      <w:r>
        <w:rPr>
          <w:rFonts w:hint="eastAsia" w:hAnsi="宋体" w:eastAsia="宋体" w:cs="宋体"/>
          <w:color w:val="auto"/>
          <w:sz w:val="21"/>
          <w:szCs w:val="21"/>
          <w:highlight w:val="none"/>
          <w:u w:val="single"/>
          <w:lang w:eastAsia="zh-CN"/>
        </w:rPr>
        <w:t>江苏常信招标代理有限公司</w:t>
      </w:r>
    </w:p>
    <w:p>
      <w:pPr>
        <w:pStyle w:val="5"/>
        <w:spacing w:line="460" w:lineRule="exact"/>
        <w:ind w:firstLine="480"/>
        <w:rPr>
          <w:rFonts w:hint="eastAsia" w:ascii="宋体" w:hAnsi="宋体" w:eastAsia="宋体" w:cs="宋体"/>
          <w:color w:val="auto"/>
          <w:sz w:val="21"/>
          <w:szCs w:val="21"/>
          <w:highlight w:val="none"/>
        </w:rPr>
      </w:pP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按照《中华人民共和国政府采购法》第二十二条和磋商文件的规定，我单位郑重声明如下：</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一、我单位是按照中华人民共和国法律规定登记注册的，注册地点为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，统一社会信用代码为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，法定代表人（单位负责人）为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，具有独立承担民事责任的能力</w:t>
      </w:r>
      <w:r>
        <w:rPr>
          <w:rFonts w:hint="eastAsia" w:ascii="宋体" w:hAnsi="宋体" w:eastAsia="宋体" w:cs="宋体"/>
          <w:b/>
          <w:color w:val="auto"/>
          <w:sz w:val="21"/>
          <w:szCs w:val="21"/>
          <w:highlight w:val="none"/>
        </w:rPr>
        <w:t>（如属于分公司经总公司授权参与项目，由总公司承担民事责任的，需提供总公司项目授权书）</w:t>
      </w:r>
      <w:r>
        <w:rPr>
          <w:rFonts w:hint="eastAsia" w:ascii="宋体" w:hAnsi="宋体" w:eastAsia="宋体" w:cs="宋体"/>
          <w:color w:val="auto"/>
          <w:sz w:val="21"/>
          <w:szCs w:val="21"/>
          <w:highlight w:val="none"/>
        </w:rPr>
        <w:t>。</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二、我单位未被“国家企业信用信息系统”列入经营异常名录或者严重违法企业名单。</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三、我单位具有良好的商业信誉（指供应商经营状况良好，无本资格声明第十条情形）和健全的财务会计制度。</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四、我单位依法进行纳税和社会保险申报并实际履行了义务。</w:t>
      </w:r>
    </w:p>
    <w:p>
      <w:pPr>
        <w:pStyle w:val="5"/>
        <w:spacing w:line="460" w:lineRule="exact"/>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rFonts w:hint="eastAsia" w:hAnsi="宋体" w:eastAsia="宋体" w:cs="宋体"/>
          <w:color w:val="auto"/>
          <w:sz w:val="21"/>
          <w:szCs w:val="21"/>
          <w:highlight w:val="none"/>
          <w:lang w:eastAsia="zh-CN"/>
        </w:rPr>
        <w:t>：</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主要设备有：</w:t>
      </w:r>
      <w:r>
        <w:rPr>
          <w:rFonts w:hint="eastAsia" w:ascii="宋体" w:hAnsi="宋体" w:eastAsia="宋体" w:cs="宋体"/>
          <w:color w:val="auto"/>
          <w:sz w:val="21"/>
          <w:szCs w:val="21"/>
          <w:highlight w:val="none"/>
          <w:u w:val="single"/>
        </w:rPr>
        <w:t xml:space="preserve">            </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主要专业技术能力有</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七、我单位具备法律、行政法规规定的其他条件。</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八、与我单位存在“单位负责人为同一人或者存在直接控股、管理关系”的其他单位信息如下（如无此情形的，填写“无”）：</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1、与我单位的法定代表人（单位负责人）为同一人的其他单位如下：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2、我单位直接控股的其他单位如下：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3、与我单位存在管理关系的其他单位如下：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九、我单位不属于为本项目提供整体设计、规范编制或者项目管理、监理、检测等服务的供应商。</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十、我单位无以下不良信用记录情形：</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1、在“信用中国”网站被列入失信被执行人和重大税收违法案件当事人名单；</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2、在“中国政府采购网”网站被列入政府采购严重违法失信行为记录名单；</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3、不符合《政府采购法》第二十二条规定的条件。</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我单位保证上述声明的事项都是真实的，如有虚假，我单位愿意承担相应的法律责任，并承担因此所造成的一切损失。</w:t>
      </w:r>
    </w:p>
    <w:p>
      <w:pPr>
        <w:pStyle w:val="5"/>
        <w:spacing w:line="460" w:lineRule="exact"/>
        <w:ind w:firstLine="480"/>
        <w:rPr>
          <w:rFonts w:hint="eastAsia" w:ascii="宋体" w:hAnsi="宋体" w:eastAsia="宋体" w:cs="宋体"/>
          <w:color w:val="auto"/>
          <w:sz w:val="21"/>
          <w:szCs w:val="21"/>
          <w:highlight w:val="none"/>
        </w:rPr>
      </w:pPr>
    </w:p>
    <w:p>
      <w:pPr>
        <w:pStyle w:val="5"/>
        <w:spacing w:line="460" w:lineRule="exact"/>
        <w:ind w:firstLine="480"/>
        <w:rPr>
          <w:rFonts w:hint="eastAsia" w:ascii="宋体" w:hAnsi="宋体" w:eastAsia="宋体" w:cs="宋体"/>
          <w:color w:val="auto"/>
          <w:sz w:val="21"/>
          <w:szCs w:val="21"/>
          <w:highlight w:val="none"/>
        </w:rPr>
      </w:pPr>
    </w:p>
    <w:p>
      <w:pPr>
        <w:pStyle w:val="5"/>
        <w:spacing w:line="46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w:t>
      </w: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供应商：（加盖公章）</w:t>
      </w:r>
    </w:p>
    <w:p>
      <w:pPr>
        <w:pStyle w:val="5"/>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法定代表人（或单位负责人）签字或盖章：</w:t>
      </w:r>
    </w:p>
    <w:p>
      <w:pPr>
        <w:pStyle w:val="5"/>
        <w:spacing w:line="46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1"/>
          <w:szCs w:val="21"/>
          <w:highlight w:val="none"/>
        </w:rPr>
        <w:sectPr>
          <w:headerReference r:id="rId10" w:type="defaul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落实政府采购政策需满足的资格要求</w:t>
      </w:r>
    </w:p>
    <w:p>
      <w:pPr>
        <w:spacing w:line="360" w:lineRule="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2-1 中小企业声明函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实质性格式）</w:t>
      </w:r>
    </w:p>
    <w:p>
      <w:pPr>
        <w:spacing w:before="240" w:beforeLines="100" w:after="240" w:afterLines="10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）格式</w:t>
      </w:r>
    </w:p>
    <w:p>
      <w:pPr>
        <w:spacing w:line="360" w:lineRule="auto"/>
        <w:ind w:firstLine="504"/>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本公司（联合体）郑重声明，根据《政府采购促进中小企业发展管理办法》（财库﹝2020﹞46 号）的规定，本公司参加</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u w:val="single"/>
          <w:lang w:val="en-US" w:eastAsia="zh-CN"/>
        </w:rPr>
        <w:t>甲方</w:t>
      </w:r>
      <w:r>
        <w:rPr>
          <w:rFonts w:hint="eastAsia" w:ascii="宋体" w:hAnsi="宋体" w:eastAsia="宋体" w:cs="宋体"/>
          <w:color w:val="auto"/>
          <w:spacing w:val="6"/>
          <w:sz w:val="21"/>
          <w:szCs w:val="21"/>
          <w:highlight w:val="none"/>
          <w:u w:val="single"/>
        </w:rPr>
        <w:t>名称）</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u w:val="single"/>
        </w:rPr>
        <w:t>（项目名称）</w:t>
      </w:r>
      <w:r>
        <w:rPr>
          <w:rFonts w:hint="eastAsia" w:ascii="宋体" w:hAnsi="宋体" w:eastAsia="宋体" w:cs="宋体"/>
          <w:color w:val="auto"/>
          <w:spacing w:val="6"/>
          <w:sz w:val="21"/>
          <w:szCs w:val="21"/>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（标的名称）</w:t>
      </w:r>
      <w:r>
        <w:rPr>
          <w:rFonts w:hint="eastAsia" w:ascii="宋体" w:hAnsi="宋体" w:eastAsia="宋体" w:cs="宋体"/>
          <w:color w:val="auto"/>
          <w:spacing w:val="6"/>
          <w:sz w:val="21"/>
          <w:szCs w:val="21"/>
          <w:highlight w:val="none"/>
        </w:rPr>
        <w:t>，属于</w:t>
      </w:r>
      <w:r>
        <w:rPr>
          <w:rFonts w:hint="eastAsia" w:ascii="宋体" w:hAnsi="宋体" w:eastAsia="宋体" w:cs="宋体"/>
          <w:b/>
          <w:bCs/>
          <w:color w:val="auto"/>
          <w:spacing w:val="6"/>
          <w:sz w:val="21"/>
          <w:szCs w:val="21"/>
          <w:highlight w:val="none"/>
          <w:u w:val="single"/>
        </w:rPr>
        <w:t xml:space="preserve">  其他未列明行业  </w:t>
      </w:r>
      <w:r>
        <w:rPr>
          <w:rFonts w:hint="eastAsia" w:ascii="宋体" w:hAnsi="宋体" w:eastAsia="宋体" w:cs="宋体"/>
          <w:color w:val="auto"/>
          <w:spacing w:val="6"/>
          <w:sz w:val="21"/>
          <w:szCs w:val="21"/>
          <w:highlight w:val="none"/>
        </w:rPr>
        <w:t>行业；承建（承接）企业为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，从业人员______人，营业收入为______万元，资产总额为______万元</w:t>
      </w:r>
      <w:r>
        <w:rPr>
          <w:rFonts w:hint="eastAsia" w:ascii="宋体" w:hAnsi="宋体" w:eastAsia="宋体" w:cs="宋体"/>
          <w:color w:val="auto"/>
          <w:spacing w:val="6"/>
          <w:sz w:val="21"/>
          <w:szCs w:val="21"/>
          <w:highlight w:val="none"/>
          <w:vertAlign w:val="superscript"/>
        </w:rPr>
        <w:t>1</w:t>
      </w:r>
      <w:r>
        <w:rPr>
          <w:rFonts w:hint="eastAsia" w:ascii="宋体" w:hAnsi="宋体" w:eastAsia="宋体" w:cs="宋体"/>
          <w:color w:val="auto"/>
          <w:spacing w:val="6"/>
          <w:sz w:val="21"/>
          <w:szCs w:val="21"/>
          <w:highlight w:val="none"/>
        </w:rPr>
        <w:t>，属于（中型企业、小型企业、微型企业）；</w:t>
      </w:r>
    </w:p>
    <w:p>
      <w:pPr>
        <w:spacing w:line="360" w:lineRule="auto"/>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u w:val="single"/>
        </w:rPr>
        <w:t>（标的名称）</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（采购文件中明确的所属行业）</w:t>
      </w:r>
      <w:r>
        <w:rPr>
          <w:rFonts w:hint="eastAsia" w:ascii="宋体" w:hAnsi="宋体" w:eastAsia="宋体" w:cs="宋体"/>
          <w:color w:val="auto"/>
          <w:spacing w:val="6"/>
          <w:sz w:val="21"/>
          <w:szCs w:val="21"/>
          <w:highlight w:val="none"/>
        </w:rPr>
        <w:t>行业；承建（承接）企业为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，从业人员______人，营业收入为______万元，资产总额为______万元，属于</w:t>
      </w:r>
      <w:r>
        <w:rPr>
          <w:rFonts w:hint="eastAsia" w:ascii="宋体" w:hAnsi="宋体" w:eastAsia="宋体" w:cs="宋体"/>
          <w:color w:val="auto"/>
          <w:spacing w:val="6"/>
          <w:sz w:val="21"/>
          <w:szCs w:val="21"/>
          <w:highlight w:val="none"/>
          <w:u w:val="single"/>
        </w:rPr>
        <w:t>（中型企业、小型企业、微型企业）</w:t>
      </w:r>
      <w:r>
        <w:rPr>
          <w:rFonts w:hint="eastAsia" w:ascii="宋体" w:hAnsi="宋体" w:eastAsia="宋体" w:cs="宋体"/>
          <w:color w:val="auto"/>
          <w:spacing w:val="6"/>
          <w:sz w:val="21"/>
          <w:szCs w:val="21"/>
          <w:highlight w:val="none"/>
        </w:rPr>
        <w:t>；</w:t>
      </w:r>
    </w:p>
    <w:p>
      <w:pPr>
        <w:spacing w:line="360" w:lineRule="auto"/>
        <w:ind w:firstLine="504"/>
        <w:rPr>
          <w:rFonts w:hint="eastAsia" w:ascii="宋体" w:hAnsi="宋体" w:eastAsia="宋体" w:cs="宋体"/>
          <w:color w:val="auto"/>
          <w:spacing w:val="6"/>
          <w:sz w:val="21"/>
          <w:szCs w:val="21"/>
          <w:highlight w:val="none"/>
        </w:rPr>
      </w:pPr>
    </w:p>
    <w:p>
      <w:pPr>
        <w:spacing w:line="360" w:lineRule="auto"/>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pPr>
        <w:spacing w:line="360" w:lineRule="auto"/>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1"/>
          <w:szCs w:val="21"/>
          <w:highlight w:val="none"/>
        </w:rPr>
      </w:pPr>
    </w:p>
    <w:p>
      <w:pPr>
        <w:spacing w:line="360" w:lineRule="auto"/>
        <w:ind w:right="360"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企业名称（加盖公章）：________</w:t>
      </w:r>
    </w:p>
    <w:p>
      <w:pPr>
        <w:spacing w:line="360" w:lineRule="auto"/>
        <w:ind w:right="360"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w:t>
      </w:r>
    </w:p>
    <w:p>
      <w:pPr>
        <w:adjustRightInd w:val="0"/>
        <w:snapToGrid w:val="0"/>
        <w:jc w:val="left"/>
        <w:rPr>
          <w:rFonts w:hint="eastAsia" w:ascii="宋体" w:hAnsi="宋体" w:eastAsia="宋体" w:cs="宋体"/>
          <w:color w:val="auto"/>
          <w:sz w:val="21"/>
          <w:szCs w:val="21"/>
          <w:highlight w:val="none"/>
        </w:rPr>
      </w:pPr>
    </w:p>
    <w:p>
      <w:pPr>
        <w:pStyle w:val="82"/>
        <w:rPr>
          <w:rFonts w:hint="eastAsia" w:ascii="宋体" w:hAnsi="宋体" w:eastAsia="宋体" w:cs="宋体"/>
          <w:color w:val="auto"/>
          <w:sz w:val="21"/>
          <w:szCs w:val="21"/>
          <w:highlight w:val="none"/>
        </w:rPr>
      </w:pPr>
    </w:p>
    <w:p>
      <w:pPr>
        <w:rPr>
          <w:rFonts w:hint="eastAsia"/>
          <w:color w:val="auto"/>
          <w:sz w:val="21"/>
          <w:szCs w:val="21"/>
          <w:highlight w:val="none"/>
        </w:rPr>
      </w:pPr>
    </w:p>
    <w:p>
      <w:pPr>
        <w:pStyle w:val="2"/>
        <w:rPr>
          <w:rFonts w:hint="eastAsia"/>
          <w:color w:val="auto"/>
          <w:sz w:val="21"/>
          <w:szCs w:val="21"/>
          <w:highlight w:val="none"/>
        </w:rPr>
      </w:pPr>
    </w:p>
    <w:p>
      <w:pPr>
        <w:rPr>
          <w:rFonts w:hint="eastAsia"/>
          <w:color w:val="auto"/>
          <w:sz w:val="21"/>
          <w:szCs w:val="21"/>
          <w:highlight w:val="none"/>
        </w:rPr>
      </w:pPr>
    </w:p>
    <w:p>
      <w:pPr>
        <w:pStyle w:val="2"/>
        <w:rPr>
          <w:rFonts w:hint="eastAsia"/>
        </w:rPr>
      </w:pPr>
    </w:p>
    <w:p>
      <w:pPr>
        <w:adjustRightInd w:val="0"/>
        <w:snapToGrid w:val="0"/>
        <w:jc w:val="left"/>
        <w:rPr>
          <w:rFonts w:hint="eastAsia" w:ascii="宋体" w:hAnsi="宋体" w:eastAsia="宋体" w:cs="宋体"/>
          <w:color w:val="auto"/>
          <w:sz w:val="21"/>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tc>
      </w:tr>
    </w:tbl>
    <w:p>
      <w:pPr>
        <w:spacing w:before="240" w:beforeLines="100" w:after="240" w:afterLines="100" w:line="360" w:lineRule="auto"/>
        <w:jc w:val="both"/>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 xml:space="preserve">残疾人福利性单位声明函格式   </w:t>
      </w:r>
      <w:r>
        <w:rPr>
          <w:rFonts w:hint="eastAsia" w:ascii="宋体" w:hAnsi="宋体" w:eastAsia="宋体" w:cs="宋体"/>
          <w:b/>
          <w:color w:val="auto"/>
          <w:sz w:val="21"/>
          <w:szCs w:val="21"/>
          <w:highlight w:val="none"/>
        </w:rPr>
        <w:t xml:space="preserve">    </w:t>
      </w:r>
    </w:p>
    <w:p>
      <w:pPr>
        <w:jc w:val="center"/>
        <w:rPr>
          <w:rFonts w:hint="eastAsia" w:ascii="宋体" w:hAnsi="宋体" w:eastAsia="宋体" w:cs="宋体"/>
          <w:color w:val="auto"/>
          <w:sz w:val="21"/>
          <w:szCs w:val="21"/>
          <w:highlight w:val="none"/>
        </w:rPr>
      </w:pPr>
    </w:p>
    <w:p>
      <w:pPr>
        <w:spacing w:line="588" w:lineRule="exact"/>
        <w:ind w:firstLine="50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w:t>
      </w:r>
      <w:r>
        <w:rPr>
          <w:rFonts w:hint="eastAsia" w:ascii="宋体" w:hAnsi="宋体" w:eastAsia="宋体" w:cs="宋体"/>
          <w:b/>
          <w:color w:val="auto"/>
          <w:sz w:val="21"/>
          <w:szCs w:val="21"/>
          <w:highlight w:val="none"/>
        </w:rPr>
        <w:t>（请进行勾选）</w:t>
      </w:r>
      <w:r>
        <w:rPr>
          <w:rFonts w:hint="eastAsia" w:ascii="宋体" w:hAnsi="宋体" w:eastAsia="宋体" w:cs="宋体"/>
          <w:color w:val="auto"/>
          <w:spacing w:val="6"/>
          <w:sz w:val="21"/>
          <w:szCs w:val="21"/>
          <w:highlight w:val="none"/>
        </w:rPr>
        <w:t>：</w:t>
      </w:r>
    </w:p>
    <w:p>
      <w:pPr>
        <w:spacing w:line="588" w:lineRule="exact"/>
        <w:ind w:firstLine="482"/>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pacing w:val="6"/>
          <w:sz w:val="21"/>
          <w:szCs w:val="21"/>
          <w:highlight w:val="none"/>
        </w:rPr>
        <w:t>不属于符合条件的残疾人福利性单位。</w:t>
      </w:r>
    </w:p>
    <w:p>
      <w:pPr>
        <w:spacing w:line="588" w:lineRule="exact"/>
        <w:ind w:firstLine="482"/>
        <w:rPr>
          <w:rFonts w:hint="eastAsia" w:ascii="宋体" w:hAnsi="宋体" w:eastAsia="宋体" w:cs="宋体"/>
          <w:color w:val="auto"/>
          <w:spacing w:val="6"/>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pacing w:val="6"/>
          <w:sz w:val="21"/>
          <w:szCs w:val="21"/>
          <w:highlight w:val="none"/>
        </w:rPr>
        <w:t>属于符合条件的残疾人福利性单位，</w:t>
      </w:r>
      <w:r>
        <w:rPr>
          <w:rFonts w:hint="eastAsia" w:ascii="宋体" w:hAnsi="宋体" w:eastAsia="宋体" w:cs="宋体"/>
          <w:color w:val="auto"/>
          <w:spacing w:val="6"/>
          <w:sz w:val="21"/>
          <w:szCs w:val="21"/>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6" w:firstLineChars="200"/>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21"/>
          <w:szCs w:val="21"/>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 w:val="21"/>
          <w:szCs w:val="21"/>
          <w:highlight w:val="none"/>
        </w:rPr>
      </w:pPr>
    </w:p>
    <w:p>
      <w:pPr>
        <w:spacing w:line="588" w:lineRule="exact"/>
        <w:ind w:firstLine="444" w:firstLineChars="200"/>
        <w:rPr>
          <w:rFonts w:hint="eastAsia" w:ascii="宋体" w:hAnsi="宋体" w:eastAsia="宋体" w:cs="宋体"/>
          <w:color w:val="auto"/>
          <w:spacing w:val="6"/>
          <w:sz w:val="21"/>
          <w:szCs w:val="21"/>
          <w:highlight w:val="none"/>
        </w:rPr>
      </w:pPr>
    </w:p>
    <w:p>
      <w:pPr>
        <w:spacing w:line="360" w:lineRule="auto"/>
        <w:ind w:right="360" w:firstLine="480"/>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名称（加盖公章）：________</w:t>
      </w:r>
    </w:p>
    <w:p>
      <w:pPr>
        <w:spacing w:line="360" w:lineRule="auto"/>
        <w:ind w:right="360"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w:t>
      </w:r>
    </w:p>
    <w:p>
      <w:pPr>
        <w:tabs>
          <w:tab w:val="left" w:pos="4860"/>
        </w:tabs>
        <w:spacing w:line="588" w:lineRule="exact"/>
        <w:ind w:right="1560" w:firstLine="444" w:firstLineChars="200"/>
        <w:jc w:val="center"/>
        <w:rPr>
          <w:rFonts w:hint="eastAsia" w:ascii="宋体" w:hAnsi="宋体" w:eastAsia="宋体" w:cs="宋体"/>
          <w:color w:val="auto"/>
          <w:spacing w:val="6"/>
          <w:sz w:val="21"/>
          <w:szCs w:val="21"/>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4"/>
          <w:szCs w:val="20"/>
          <w:highlight w:val="none"/>
        </w:rPr>
        <w:t>3</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 xml:space="preserve"> </w:t>
      </w:r>
      <w:r>
        <w:rPr>
          <w:rFonts w:hint="eastAsia" w:ascii="宋体" w:hAnsi="宋体" w:eastAsia="宋体" w:cs="宋体"/>
          <w:b/>
          <w:bCs/>
          <w:color w:val="auto"/>
          <w:sz w:val="24"/>
          <w:highlight w:val="none"/>
        </w:rPr>
        <w:t>本项目的特定资格要求</w:t>
      </w:r>
    </w:p>
    <w:p>
      <w:pPr>
        <w:spacing w:line="360" w:lineRule="auto"/>
        <w:outlineLvl w:val="2"/>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无</w:t>
      </w: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pStyle w:val="42"/>
        <w:rPr>
          <w:rFonts w:hint="eastAsia" w:ascii="宋体" w:hAnsi="宋体" w:eastAsia="宋体" w:cs="宋体"/>
          <w:color w:val="auto"/>
          <w:sz w:val="24"/>
          <w:szCs w:val="20"/>
          <w:highlight w:val="none"/>
          <w:lang w:val="en-US" w:eastAsia="zh-CN"/>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b/>
          <w:bCs/>
          <w:color w:val="auto"/>
          <w:sz w:val="24"/>
          <w:szCs w:val="20"/>
          <w:highlight w:val="none"/>
        </w:rPr>
      </w:pPr>
      <w:bookmarkStart w:id="186" w:name="_Toc305158825"/>
      <w:bookmarkStart w:id="187" w:name="_Toc150774762"/>
      <w:bookmarkStart w:id="188" w:name="_Toc305158899"/>
      <w:bookmarkStart w:id="189" w:name="_Toc226309801"/>
      <w:bookmarkStart w:id="190" w:name="_Toc226965747"/>
      <w:bookmarkStart w:id="191" w:name="_Toc480942350"/>
      <w:bookmarkStart w:id="192" w:name="_Toc150480795"/>
      <w:bookmarkStart w:id="193" w:name="_Toc265228395"/>
      <w:bookmarkStart w:id="194" w:name="_Toc520356218"/>
      <w:bookmarkStart w:id="195" w:name="_Toc226337253"/>
      <w:bookmarkStart w:id="196" w:name="_Toc127151557"/>
      <w:bookmarkStart w:id="197" w:name="_Ref467988705"/>
      <w:bookmarkStart w:id="198" w:name="_Toc142311059"/>
      <w:bookmarkStart w:id="199" w:name="_Toc226965830"/>
      <w:bookmarkStart w:id="200" w:name="_Toc195842922"/>
      <w:bookmarkStart w:id="201" w:name="_Toc264969247"/>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响应函</w:t>
      </w:r>
      <w:r>
        <w:rPr>
          <w:rFonts w:hint="eastAsia" w:ascii="宋体" w:hAnsi="宋体" w:eastAsia="宋体" w:cs="宋体"/>
          <w:b/>
          <w:bCs/>
          <w:color w:val="auto"/>
          <w:sz w:val="24"/>
          <w:szCs w:val="20"/>
          <w:highlight w:val="none"/>
        </w:rPr>
        <w:t>（实质性格式）</w:t>
      </w:r>
    </w:p>
    <w:p>
      <w:pPr>
        <w:tabs>
          <w:tab w:val="left" w:pos="5580"/>
        </w:tabs>
        <w:spacing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响应函</w:t>
      </w:r>
    </w:p>
    <w:p>
      <w:pPr>
        <w:pStyle w:val="5"/>
        <w:spacing w:line="460" w:lineRule="exact"/>
        <w:ind w:left="0" w:leftChars="0" w:firstLine="0" w:firstLineChars="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eastAsia="zh-CN"/>
        </w:rPr>
        <w:t>常州市体育局</w:t>
      </w:r>
    </w:p>
    <w:p>
      <w:pPr>
        <w:pStyle w:val="5"/>
        <w:spacing w:line="460" w:lineRule="exact"/>
        <w:ind w:left="0" w:leftChars="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江苏常信招标代理有限公司</w:t>
      </w:r>
    </w:p>
    <w:p>
      <w:pPr>
        <w:tabs>
          <w:tab w:val="left" w:pos="5580"/>
        </w:tabs>
        <w:spacing w:line="360" w:lineRule="auto"/>
        <w:rPr>
          <w:rFonts w:hint="eastAsia" w:ascii="宋体" w:hAnsi="宋体" w:eastAsia="宋体" w:cs="宋体"/>
          <w:color w:val="auto"/>
          <w:sz w:val="21"/>
          <w:szCs w:val="21"/>
          <w:highlight w:val="none"/>
        </w:rPr>
      </w:pPr>
    </w:p>
    <w:p>
      <w:pPr>
        <w:tabs>
          <w:tab w:val="left" w:pos="5580"/>
        </w:tabs>
        <w:spacing w:line="360" w:lineRule="auto"/>
        <w:ind w:firstLine="4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我方参加你方就</w:t>
      </w:r>
      <w:r>
        <w:rPr>
          <w:rFonts w:hint="eastAsia" w:ascii="宋体" w:hAnsi="宋体" w:eastAsia="宋体" w:cs="宋体"/>
          <w:b/>
          <w:bCs/>
          <w:color w:val="auto"/>
          <w:sz w:val="21"/>
          <w:szCs w:val="21"/>
          <w:highlight w:val="none"/>
          <w:u w:val="single"/>
          <w:lang w:eastAsia="zh-CN"/>
        </w:rPr>
        <w:t>常州市体育局2022年国民体质监测一体机采购项目（二次）</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常信采竞磋2022010</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highlight w:val="none"/>
        </w:rPr>
        <w:t>组织的政府采购活动，并对此项目进行响应。</w:t>
      </w:r>
    </w:p>
    <w:p>
      <w:pPr>
        <w:tabs>
          <w:tab w:val="left" w:pos="5580"/>
        </w:tabs>
        <w:spacing w:line="360" w:lineRule="auto"/>
        <w:ind w:firstLine="4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我方已详细审查全部磋商文件，自愿参与响应并承诺如下：</w:t>
      </w:r>
    </w:p>
    <w:p>
      <w:pPr>
        <w:tabs>
          <w:tab w:val="left" w:pos="720"/>
          <w:tab w:val="left" w:pos="900"/>
        </w:tabs>
        <w:spacing w:line="360" w:lineRule="auto"/>
        <w:ind w:left="360" w:firstLine="63" w:firstLineChars="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（1）本响应有效期为自提交响应文件的截止之日起60个日历日。</w:t>
      </w:r>
    </w:p>
    <w:p>
      <w:pPr>
        <w:tabs>
          <w:tab w:val="left" w:pos="720"/>
          <w:tab w:val="left" w:pos="900"/>
        </w:tabs>
        <w:spacing w:line="360" w:lineRule="auto"/>
        <w:ind w:left="360" w:firstLine="63" w:firstLineChars="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（2）除合同条款及采购需求偏离表列出的偏离外，我方响应磋商文件的全部要求。</w:t>
      </w:r>
    </w:p>
    <w:p>
      <w:pPr>
        <w:tabs>
          <w:tab w:val="left" w:pos="5580"/>
        </w:tabs>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（3）我方已提供的全部文件资料是真实、准确的，并对此承担一切法律后果。</w:t>
      </w:r>
    </w:p>
    <w:p>
      <w:pPr>
        <w:tabs>
          <w:tab w:val="left" w:pos="5580"/>
        </w:tabs>
        <w:spacing w:line="360" w:lineRule="auto"/>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（4）如我方中标，我方将在法律规定的期限内与你方签订合同，按照磋商文件要求提交履约保证金，并在合同约定的期限内完成合同规定的全部义务。</w:t>
      </w:r>
    </w:p>
    <w:p>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其他补充条款（如有）：___________。</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与本响应有关的一切正式往来信函请寄：</w:t>
      </w:r>
    </w:p>
    <w:p>
      <w:pPr>
        <w:tabs>
          <w:tab w:val="left" w:pos="5580"/>
        </w:tabs>
        <w:spacing w:line="360" w:lineRule="auto"/>
        <w:ind w:left="420"/>
        <w:rPr>
          <w:rFonts w:hint="eastAsia" w:ascii="宋体" w:hAnsi="宋体" w:eastAsia="宋体" w:cs="宋体"/>
          <w:color w:val="auto"/>
          <w:sz w:val="21"/>
          <w:szCs w:val="21"/>
          <w:highlight w:val="none"/>
        </w:rPr>
      </w:pPr>
    </w:p>
    <w:p>
      <w:pPr>
        <w:tabs>
          <w:tab w:val="left" w:pos="558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1"/>
          <w:szCs w:val="21"/>
          <w:highlight w:val="none"/>
        </w:rPr>
      </w:pPr>
    </w:p>
    <w:p>
      <w:pPr>
        <w:tabs>
          <w:tab w:val="left" w:pos="558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 _______</w:t>
      </w:r>
    </w:p>
    <w:p>
      <w:pPr>
        <w:tabs>
          <w:tab w:val="left" w:pos="5580"/>
        </w:tabs>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日期：_____年______月______日    </w:t>
      </w:r>
    </w:p>
    <w:p>
      <w:pPr>
        <w:tabs>
          <w:tab w:val="left" w:pos="5580"/>
        </w:tabs>
        <w:spacing w:line="360" w:lineRule="auto"/>
        <w:ind w:left="420"/>
        <w:rPr>
          <w:rFonts w:hint="eastAsia" w:ascii="宋体" w:hAnsi="宋体" w:eastAsia="宋体" w:cs="宋体"/>
          <w:color w:val="auto"/>
          <w:sz w:val="21"/>
          <w:szCs w:val="21"/>
          <w:highlight w:val="none"/>
          <w:u w:val="single"/>
        </w:rPr>
      </w:pPr>
    </w:p>
    <w:p>
      <w:pPr>
        <w:widowControl/>
        <w:jc w:val="left"/>
        <w:rPr>
          <w:rFonts w:hint="eastAsia" w:ascii="宋体" w:hAnsi="宋体" w:eastAsia="宋体" w:cs="宋体"/>
          <w:color w:val="auto"/>
          <w:sz w:val="24"/>
          <w:highlight w:val="none"/>
        </w:rPr>
      </w:pPr>
      <w:bookmarkStart w:id="202" w:name="_Hlt520355938"/>
      <w:bookmarkEnd w:id="202"/>
      <w:bookmarkStart w:id="203" w:name="_Hlt520356243"/>
      <w:bookmarkEnd w:id="203"/>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4"/>
          <w:highlight w:val="none"/>
        </w:rPr>
        <w:t>5  法定代表人资格证明书</w:t>
      </w:r>
      <w:r>
        <w:rPr>
          <w:rFonts w:hint="eastAsia" w:ascii="宋体" w:hAnsi="宋体" w:eastAsia="宋体" w:cs="宋体"/>
          <w:b/>
          <w:bCs/>
          <w:color w:val="auto"/>
          <w:sz w:val="24"/>
          <w:szCs w:val="20"/>
          <w:highlight w:val="none"/>
        </w:rPr>
        <w:t>（实质性格式）</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法定代表人资格证明书</w:t>
      </w:r>
    </w:p>
    <w:p>
      <w:pPr>
        <w:spacing w:line="56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lang w:val="en-US" w:eastAsia="zh-CN"/>
        </w:rPr>
        <w:t xml:space="preserve">                 </w:t>
      </w:r>
    </w:p>
    <w:p>
      <w:pPr>
        <w:spacing w:line="56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pPr>
        <w:spacing w:line="56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的法定代表人。为参与</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的政府采购活动，签署、澄清确认、递交、撤回、修改上述项目的响应文件、进行合同磋商、签署合同和处理与之有关的一切事务。</w:t>
      </w:r>
    </w:p>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spacing w:line="560" w:lineRule="exact"/>
        <w:rPr>
          <w:rFonts w:hint="eastAsia" w:ascii="宋体" w:hAnsi="宋体" w:eastAsia="宋体" w:cs="宋体"/>
          <w:color w:val="auto"/>
          <w:sz w:val="21"/>
          <w:szCs w:val="21"/>
          <w:highlight w:val="none"/>
        </w:rPr>
      </w:pPr>
    </w:p>
    <w:p>
      <w:pPr>
        <w:pStyle w:val="18"/>
        <w:kinsoku w:val="0"/>
        <w:overflowPunct w:val="0"/>
        <w:spacing w:line="583" w:lineRule="auto"/>
        <w:ind w:right="-46"/>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法</w:t>
      </w:r>
      <w:r>
        <w:rPr>
          <w:rFonts w:hint="eastAsia" w:ascii="宋体" w:hAnsi="宋体" w:eastAsia="宋体" w:cs="宋体"/>
          <w:color w:val="auto"/>
          <w:sz w:val="21"/>
          <w:szCs w:val="21"/>
          <w:highlight w:val="none"/>
        </w:rPr>
        <w:t>定</w:t>
      </w:r>
      <w:r>
        <w:rPr>
          <w:rFonts w:hint="eastAsia" w:ascii="宋体" w:hAnsi="宋体" w:eastAsia="宋体" w:cs="宋体"/>
          <w:color w:val="auto"/>
          <w:spacing w:val="-3"/>
          <w:sz w:val="21"/>
          <w:szCs w:val="21"/>
          <w:highlight w:val="none"/>
        </w:rPr>
        <w:t>代</w:t>
      </w:r>
      <w:r>
        <w:rPr>
          <w:rFonts w:hint="eastAsia" w:ascii="宋体" w:hAnsi="宋体" w:eastAsia="宋体" w:cs="宋体"/>
          <w:color w:val="auto"/>
          <w:sz w:val="21"/>
          <w:szCs w:val="21"/>
          <w:highlight w:val="none"/>
        </w:rPr>
        <w:t>表</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单</w:t>
      </w:r>
      <w:r>
        <w:rPr>
          <w:rFonts w:hint="eastAsia" w:ascii="宋体" w:hAnsi="宋体" w:eastAsia="宋体" w:cs="宋体"/>
          <w:color w:val="auto"/>
          <w:sz w:val="21"/>
          <w:szCs w:val="21"/>
          <w:highlight w:val="none"/>
        </w:rPr>
        <w:t>位</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责人</w:t>
      </w:r>
      <w:r>
        <w:rPr>
          <w:rFonts w:hint="eastAsia" w:ascii="宋体" w:hAnsi="宋体" w:eastAsia="宋体" w:cs="宋体"/>
          <w:color w:val="auto"/>
          <w:spacing w:val="-3"/>
          <w:sz w:val="21"/>
          <w:szCs w:val="21"/>
          <w:highlight w:val="none"/>
        </w:rPr>
        <w:t>）有效期内的身份证正反面</w:t>
      </w:r>
      <w:r>
        <w:rPr>
          <w:rFonts w:hint="eastAsia" w:eastAsia="宋体" w:cs="宋体"/>
          <w:color w:val="auto"/>
          <w:spacing w:val="-3"/>
          <w:sz w:val="21"/>
          <w:szCs w:val="21"/>
          <w:highlight w:val="none"/>
          <w:lang w:eastAsia="zh-CN"/>
        </w:rPr>
        <w:t>复印件</w:t>
      </w:r>
      <w:r>
        <w:rPr>
          <w:rFonts w:hint="eastAsia" w:ascii="宋体" w:hAnsi="宋体" w:eastAsia="宋体" w:cs="宋体"/>
          <w:color w:val="auto"/>
          <w:spacing w:val="-3"/>
          <w:sz w:val="21"/>
          <w:szCs w:val="21"/>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trPr>
        <w:tc>
          <w:tcPr>
            <w:tcW w:w="4673" w:type="dxa"/>
            <w:noWrap w:val="0"/>
            <w:vAlign w:val="top"/>
          </w:tcPr>
          <w:p>
            <w:pPr>
              <w:tabs>
                <w:tab w:val="left" w:pos="5580"/>
              </w:tabs>
              <w:spacing w:line="360" w:lineRule="auto"/>
              <w:jc w:val="left"/>
              <w:rPr>
                <w:rFonts w:hint="eastAsia" w:ascii="宋体" w:hAnsi="宋体" w:eastAsia="宋体" w:cs="宋体"/>
                <w:color w:val="auto"/>
                <w:sz w:val="21"/>
                <w:szCs w:val="21"/>
                <w:highlight w:val="none"/>
              </w:rPr>
            </w:pPr>
          </w:p>
          <w:p>
            <w:pPr>
              <w:tabs>
                <w:tab w:val="left" w:pos="5580"/>
              </w:tabs>
              <w:spacing w:line="360" w:lineRule="auto"/>
              <w:jc w:val="left"/>
              <w:rPr>
                <w:rFonts w:hint="eastAsia" w:ascii="宋体" w:hAnsi="宋体" w:eastAsia="宋体" w:cs="宋体"/>
                <w:color w:val="auto"/>
                <w:sz w:val="21"/>
                <w:szCs w:val="21"/>
                <w:highlight w:val="none"/>
              </w:rPr>
            </w:pPr>
          </w:p>
          <w:p>
            <w:pPr>
              <w:tabs>
                <w:tab w:val="left" w:pos="5580"/>
              </w:tabs>
              <w:spacing w:line="360" w:lineRule="auto"/>
              <w:jc w:val="left"/>
              <w:rPr>
                <w:rFonts w:hint="eastAsia" w:ascii="宋体" w:hAnsi="宋体" w:eastAsia="宋体" w:cs="宋体"/>
                <w:color w:val="auto"/>
                <w:sz w:val="21"/>
                <w:szCs w:val="21"/>
                <w:highlight w:val="none"/>
              </w:rPr>
            </w:pPr>
          </w:p>
        </w:tc>
        <w:tc>
          <w:tcPr>
            <w:tcW w:w="4536" w:type="dxa"/>
            <w:noWrap w:val="0"/>
            <w:vAlign w:val="top"/>
          </w:tcPr>
          <w:p>
            <w:pPr>
              <w:tabs>
                <w:tab w:val="left" w:pos="5580"/>
              </w:tabs>
              <w:spacing w:line="360" w:lineRule="auto"/>
              <w:jc w:val="left"/>
              <w:rPr>
                <w:rFonts w:hint="eastAsia" w:ascii="宋体" w:hAnsi="宋体" w:eastAsia="宋体" w:cs="宋体"/>
                <w:color w:val="auto"/>
                <w:sz w:val="21"/>
                <w:szCs w:val="21"/>
                <w:highlight w:val="none"/>
              </w:rPr>
            </w:pPr>
          </w:p>
          <w:p>
            <w:pPr>
              <w:tabs>
                <w:tab w:val="left" w:pos="5580"/>
              </w:tabs>
              <w:spacing w:line="360" w:lineRule="auto"/>
              <w:jc w:val="left"/>
              <w:rPr>
                <w:rFonts w:hint="eastAsia" w:ascii="宋体" w:hAnsi="宋体" w:eastAsia="宋体" w:cs="宋体"/>
                <w:color w:val="auto"/>
                <w:sz w:val="21"/>
                <w:szCs w:val="21"/>
                <w:highlight w:val="none"/>
              </w:rPr>
            </w:pPr>
          </w:p>
          <w:p>
            <w:pPr>
              <w:tabs>
                <w:tab w:val="left" w:pos="5580"/>
              </w:tabs>
              <w:spacing w:line="360" w:lineRule="auto"/>
              <w:jc w:val="left"/>
              <w:rPr>
                <w:rFonts w:hint="eastAsia" w:ascii="宋体" w:hAnsi="宋体" w:eastAsia="宋体" w:cs="宋体"/>
                <w:color w:val="auto"/>
                <w:sz w:val="21"/>
                <w:szCs w:val="21"/>
                <w:highlight w:val="none"/>
              </w:rPr>
            </w:pPr>
          </w:p>
        </w:tc>
      </w:tr>
    </w:tbl>
    <w:p>
      <w:pPr>
        <w:spacing w:line="56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供应商：（加盖公章）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pPr>
        <w:spacing w:line="560" w:lineRule="exac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法定代表人</w:t>
      </w:r>
      <w:r>
        <w:rPr>
          <w:rFonts w:ascii="宋体" w:hAnsi="宋体"/>
          <w:color w:val="auto"/>
          <w:sz w:val="21"/>
          <w:szCs w:val="21"/>
          <w:highlight w:val="none"/>
        </w:rPr>
        <w:t>签字</w:t>
      </w:r>
      <w:r>
        <w:rPr>
          <w:rFonts w:hint="eastAsia" w:ascii="宋体" w:hAnsi="宋体"/>
          <w:color w:val="auto"/>
          <w:sz w:val="21"/>
          <w:szCs w:val="21"/>
          <w:highlight w:val="none"/>
        </w:rPr>
        <w:t>、签章</w:t>
      </w:r>
      <w:r>
        <w:rPr>
          <w:rFonts w:ascii="宋体" w:hAnsi="宋体"/>
          <w:color w:val="auto"/>
          <w:sz w:val="21"/>
          <w:szCs w:val="21"/>
          <w:highlight w:val="none"/>
        </w:rPr>
        <w:t>或</w:t>
      </w:r>
      <w:r>
        <w:rPr>
          <w:rFonts w:hint="eastAsia" w:ascii="宋体" w:hAnsi="宋体"/>
          <w:color w:val="auto"/>
          <w:sz w:val="21"/>
          <w:szCs w:val="21"/>
          <w:highlight w:val="none"/>
        </w:rPr>
        <w:t>印鉴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pPr>
        <w:spacing w:line="560" w:lineRule="exact"/>
        <w:ind w:firstLine="3780"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widowControl/>
        <w:jc w:val="left"/>
        <w:rPr>
          <w:rFonts w:hint="eastAsia" w:ascii="宋体" w:hAnsi="宋体" w:eastAsia="宋体" w:cs="宋体"/>
          <w:color w:val="auto"/>
          <w:sz w:val="21"/>
          <w:szCs w:val="21"/>
          <w:highlight w:val="none"/>
        </w:rPr>
      </w:pPr>
    </w:p>
    <w:p>
      <w:pPr>
        <w:widowControl/>
        <w:jc w:val="left"/>
        <w:rPr>
          <w:rFonts w:hint="eastAsia" w:ascii="宋体" w:hAnsi="宋体" w:eastAsia="宋体" w:cs="宋体"/>
          <w:color w:val="auto"/>
          <w:sz w:val="21"/>
          <w:szCs w:val="21"/>
          <w:highlight w:val="none"/>
        </w:rPr>
      </w:pPr>
    </w:p>
    <w:p>
      <w:pPr>
        <w:widowControl/>
        <w:jc w:val="left"/>
        <w:rPr>
          <w:rFonts w:hint="eastAsia" w:ascii="宋体" w:hAnsi="宋体" w:eastAsia="宋体" w:cs="宋体"/>
          <w:color w:val="auto"/>
          <w:sz w:val="21"/>
          <w:szCs w:val="21"/>
          <w:highlight w:val="none"/>
        </w:rPr>
      </w:pPr>
    </w:p>
    <w:p>
      <w:pPr>
        <w:tabs>
          <w:tab w:val="left" w:pos="558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tabs>
          <w:tab w:val="left" w:pos="558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1.若供应商为事业单位或其他组织或分支机构（仅当磋商文件注明允许分支机构响应的），则法定代表人（单位负责人）处的签署人可为单位负责人。</w:t>
      </w:r>
    </w:p>
    <w:p>
      <w:pPr>
        <w:tabs>
          <w:tab w:val="left" w:pos="5580"/>
        </w:tabs>
        <w:spacing w:line="360" w:lineRule="auto"/>
        <w:jc w:val="left"/>
        <w:rPr>
          <w:rFonts w:hint="eastAsia" w:ascii="宋体" w:hAnsi="宋体" w:eastAsia="宋体" w:cs="宋体"/>
          <w:i/>
          <w:color w:val="auto"/>
          <w:sz w:val="24"/>
          <w:szCs w:val="20"/>
          <w:highlight w:val="none"/>
          <w:u w:val="single"/>
        </w:rPr>
      </w:pPr>
      <w:r>
        <w:rPr>
          <w:rFonts w:hint="eastAsia" w:ascii="宋体" w:hAnsi="宋体" w:eastAsia="宋体" w:cs="宋体"/>
          <w:color w:val="auto"/>
          <w:sz w:val="21"/>
          <w:szCs w:val="21"/>
          <w:highlight w:val="none"/>
        </w:rPr>
        <w:t>3.供应商为自然人的情形，可不提供本《</w:t>
      </w:r>
      <w:r>
        <w:rPr>
          <w:rFonts w:hint="eastAsia" w:ascii="宋体" w:hAnsi="宋体" w:eastAsia="宋体" w:cs="宋体"/>
          <w:color w:val="auto"/>
          <w:sz w:val="21"/>
          <w:szCs w:val="21"/>
          <w:highlight w:val="none"/>
        </w:rPr>
        <w:t>法定代表人资格证明书</w:t>
      </w:r>
      <w:r>
        <w:rPr>
          <w:rFonts w:hint="eastAsia" w:ascii="宋体" w:hAnsi="宋体" w:eastAsia="宋体" w:cs="宋体"/>
          <w:color w:val="auto"/>
          <w:sz w:val="21"/>
          <w:szCs w:val="21"/>
          <w:highlight w:val="none"/>
        </w:rPr>
        <w:t>》。</w:t>
      </w:r>
    </w:p>
    <w:p>
      <w:pPr>
        <w:widowControl/>
        <w:jc w:val="left"/>
        <w:rPr>
          <w:rFonts w:hint="eastAsia" w:ascii="宋体" w:hAnsi="宋体" w:eastAsia="宋体" w:cs="宋体"/>
          <w:color w:val="auto"/>
          <w:sz w:val="24"/>
          <w:highlight w:val="none"/>
        </w:rPr>
      </w:pPr>
    </w:p>
    <w:p>
      <w:pPr>
        <w:widowControl w:val="0"/>
        <w:adjustRightInd w:val="0"/>
        <w:spacing w:line="36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highlight w:val="none"/>
        </w:rPr>
        <w:t>6</w:t>
      </w:r>
      <w:r>
        <w:rPr>
          <w:rFonts w:hint="eastAsia" w:ascii="宋体" w:hAnsi="宋体" w:eastAsia="宋体" w:cs="宋体"/>
          <w:b w:val="0"/>
          <w:bCs w:val="0"/>
          <w:color w:val="auto"/>
          <w:sz w:val="24"/>
          <w:highlight w:val="none"/>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kern w:val="2"/>
          <w:sz w:val="24"/>
          <w:szCs w:val="24"/>
          <w:highlight w:val="none"/>
          <w:lang w:val="en-US" w:eastAsia="zh-CN" w:bidi="ar-SA"/>
        </w:rPr>
        <w:t>授权委托书（如有，实质性格式）</w:t>
      </w:r>
    </w:p>
    <w:p>
      <w:pPr>
        <w:widowControl w:val="0"/>
        <w:adjustRightInd w:val="0"/>
        <w:spacing w:line="360" w:lineRule="exact"/>
        <w:jc w:val="both"/>
        <w:textAlignment w:val="baseline"/>
        <w:rPr>
          <w:rFonts w:hint="eastAsia" w:ascii="宋体" w:hAnsi="宋体" w:eastAsia="宋体" w:cs="宋体"/>
          <w:color w:val="auto"/>
          <w:kern w:val="2"/>
          <w:sz w:val="24"/>
          <w:szCs w:val="24"/>
          <w:highlight w:val="none"/>
          <w:lang w:val="en-US" w:eastAsia="zh-CN" w:bidi="ar-SA"/>
        </w:rPr>
      </w:pPr>
    </w:p>
    <w:p>
      <w:pPr>
        <w:widowControl w:val="0"/>
        <w:adjustRightInd w:val="0"/>
        <w:spacing w:line="360" w:lineRule="exact"/>
        <w:jc w:val="both"/>
        <w:textAlignment w:val="baseline"/>
        <w:rPr>
          <w:rFonts w:hint="eastAsia" w:ascii="宋体" w:hAnsi="宋体" w:eastAsia="宋体" w:cs="宋体"/>
          <w:color w:val="auto"/>
          <w:kern w:val="2"/>
          <w:sz w:val="24"/>
          <w:szCs w:val="24"/>
          <w:highlight w:val="none"/>
          <w:lang w:val="en-US" w:eastAsia="zh-CN" w:bidi="ar-SA"/>
        </w:rPr>
      </w:pPr>
    </w:p>
    <w:p>
      <w:pPr>
        <w:widowControl w:val="0"/>
        <w:adjustRightInd w:val="0"/>
        <w:spacing w:line="360" w:lineRule="exact"/>
        <w:jc w:val="center"/>
        <w:textAlignment w:val="baseline"/>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授权委托书</w:t>
      </w:r>
    </w:p>
    <w:p>
      <w:pPr>
        <w:widowControl w:val="0"/>
        <w:ind w:left="1260"/>
        <w:jc w:val="both"/>
        <w:rPr>
          <w:rFonts w:hint="eastAsia" w:ascii="宋体" w:hAnsi="宋体" w:eastAsia="宋体" w:cs="宋体"/>
          <w:color w:val="auto"/>
          <w:kern w:val="2"/>
          <w:sz w:val="21"/>
          <w:highlight w:val="none"/>
          <w:lang w:val="en-US" w:eastAsia="zh-CN" w:bidi="ar-SA"/>
        </w:rPr>
      </w:pPr>
    </w:p>
    <w:p>
      <w:pPr>
        <w:adjustRightInd w:val="0"/>
        <w:snapToGrid w:val="0"/>
        <w:spacing w:line="480" w:lineRule="exact"/>
        <w:ind w:firstLine="451" w:firstLineChars="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本授权委托书声明：本人 </w:t>
      </w:r>
      <w:r>
        <w:rPr>
          <w:rFonts w:hint="eastAsia" w:ascii="宋体" w:hAnsi="宋体" w:eastAsia="宋体" w:cs="宋体"/>
          <w:color w:val="auto"/>
          <w:szCs w:val="21"/>
          <w:highlight w:val="none"/>
          <w:u w:val="single"/>
        </w:rPr>
        <w:t xml:space="preserve">  （法定代表人姓名）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（被授权人的姓名）    </w:t>
      </w:r>
      <w:r>
        <w:rPr>
          <w:rFonts w:hint="eastAsia" w:ascii="宋体" w:hAnsi="宋体" w:eastAsia="宋体" w:cs="宋体"/>
          <w:color w:val="auto"/>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日起签字生效，特此声明。</w:t>
      </w:r>
    </w:p>
    <w:p>
      <w:pPr>
        <w:adjustRightInd w:val="0"/>
        <w:snapToGrid w:val="0"/>
        <w:spacing w:line="480" w:lineRule="exact"/>
        <w:ind w:firstLine="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被授权人情况如下（必填）：</w:t>
      </w:r>
    </w:p>
    <w:p>
      <w:pPr>
        <w:adjustRightInd w:val="0"/>
        <w:snapToGrid w:val="0"/>
        <w:spacing w:line="480" w:lineRule="exact"/>
        <w:ind w:firstLine="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exact"/>
        <w:ind w:firstLine="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exact"/>
        <w:ind w:firstLine="397"/>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被授权人签字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p>
    <w:p>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供应商：（加盖公章）</w:t>
      </w:r>
    </w:p>
    <w:p>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法定代表人签字、签章或印鉴：</w:t>
      </w:r>
    </w:p>
    <w:p>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被授权人身份证复印件：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tc>
        <w:tc>
          <w:tcPr>
            <w:tcW w:w="4536" w:type="dxa"/>
            <w:noWrap w:val="0"/>
            <w:vAlign w:val="top"/>
          </w:tcPr>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pacing w:line="360" w:lineRule="auto"/>
        <w:rPr>
          <w:rFonts w:hint="eastAsia" w:ascii="宋体" w:hAnsi="宋体" w:eastAsia="宋体" w:cs="宋体"/>
          <w:b/>
          <w:bCs/>
          <w:color w:val="auto"/>
          <w:szCs w:val="20"/>
          <w:highlight w:val="none"/>
        </w:rPr>
      </w:pPr>
      <w:r>
        <w:rPr>
          <w:rFonts w:hint="eastAsia" w:ascii="宋体" w:hAnsi="宋体" w:eastAsia="宋体" w:cs="宋体"/>
          <w:b/>
          <w:bCs/>
          <w:color w:val="auto"/>
          <w:szCs w:val="21"/>
          <w:highlight w:val="none"/>
        </w:rPr>
        <w:t>1、法定代表人参加磋商会议时，须携带并按要求提交本人身份证原件。</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、被授权人参加磋商会议时，须携带并按要求提交授权委托书和本人身份证原件。</w:t>
      </w:r>
    </w:p>
    <w:p>
      <w:pPr>
        <w:spacing w:line="360" w:lineRule="auto"/>
        <w:rPr>
          <w:rFonts w:hint="eastAsia" w:ascii="宋体" w:hAnsi="宋体" w:eastAsia="宋体" w:cs="宋体"/>
          <w:b/>
          <w:bCs/>
          <w:color w:val="auto"/>
          <w:szCs w:val="21"/>
          <w:highlight w:val="none"/>
        </w:rPr>
        <w:sectPr>
          <w:headerReference r:id="rId12" w:type="default"/>
          <w:footerReference r:id="rId13" w:type="default"/>
          <w:pgSz w:w="11907" w:h="16839"/>
          <w:pgMar w:top="1440" w:right="1800" w:bottom="1440" w:left="1800" w:header="851" w:footer="992" w:gutter="0"/>
          <w:pgBorders>
            <w:top w:val="none" w:sz="0" w:space="0"/>
            <w:left w:val="none" w:sz="0" w:space="0"/>
            <w:bottom w:val="none" w:sz="0" w:space="0"/>
            <w:right w:val="none" w:sz="0" w:space="0"/>
          </w:pgBorders>
          <w:pgNumType w:fmt="decimal" w:chapStyle="1"/>
          <w:cols w:space="720" w:num="1"/>
          <w:docGrid w:type="lines" w:linePitch="312" w:charSpace="0"/>
        </w:sect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、身份证复印件信息必须清晰可辨，如因清晰度不够引起的一切后果由供应商自行承担</w:t>
      </w:r>
    </w:p>
    <w:p>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7  </w:t>
      </w:r>
      <w:r>
        <w:rPr>
          <w:rFonts w:hint="eastAsia" w:ascii="宋体" w:hAnsi="宋体" w:eastAsia="宋体" w:cs="宋体"/>
          <w:b/>
          <w:bCs/>
          <w:color w:val="auto"/>
          <w:sz w:val="24"/>
          <w:highlight w:val="none"/>
        </w:rPr>
        <w:t>政府采购供应商信用承诺书</w:t>
      </w:r>
      <w:r>
        <w:rPr>
          <w:rFonts w:hint="eastAsia" w:ascii="宋体" w:hAnsi="宋体" w:eastAsia="宋体" w:cs="宋体"/>
          <w:b/>
          <w:bCs/>
          <w:color w:val="auto"/>
          <w:sz w:val="24"/>
          <w:szCs w:val="20"/>
          <w:highlight w:val="none"/>
        </w:rPr>
        <w:t>（实质性格式）</w:t>
      </w:r>
    </w:p>
    <w:p>
      <w:pPr>
        <w:spacing w:line="560" w:lineRule="exact"/>
        <w:ind w:firstLine="321" w:firstLineChars="100"/>
        <w:jc w:val="center"/>
        <w:rPr>
          <w:rFonts w:hint="eastAsia" w:ascii="宋体" w:hAnsi="宋体" w:eastAsia="宋体" w:cs="宋体"/>
          <w:b/>
          <w:color w:val="auto"/>
          <w:sz w:val="32"/>
          <w:szCs w:val="32"/>
          <w:highlight w:val="none"/>
        </w:rPr>
      </w:pPr>
    </w:p>
    <w:p>
      <w:pPr>
        <w:spacing w:line="560" w:lineRule="exac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政府采购供应商信用承诺书</w:t>
      </w:r>
    </w:p>
    <w:p>
      <w:pPr>
        <w:ind w:firstLine="640"/>
        <w:rPr>
          <w:rFonts w:hint="eastAsia" w:ascii="宋体" w:hAnsi="宋体" w:eastAsia="宋体" w:cs="宋体"/>
          <w:snapToGrid w:val="0"/>
          <w:color w:val="auto"/>
          <w:kern w:val="0"/>
          <w:highlight w:val="none"/>
        </w:rPr>
      </w:pP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为维护公开、公平、公正的政府采购市场秩序，树立诚实守信的供应商形象，本单位在参与政府采购活动中,自愿作出以下承诺：</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一、严格遵守国家法律、法规和规章，全面履行应尽的责任和义务，全面做到履约守信，具备《中华人民共和国政府采购法》第二十二条第一款规定的条件。</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四、严格依法开展生产经营活动，主动接受行业监管，自愿接受依法开展的日常检查；违法失信经营后将自愿接受约束和惩戒，并依法承担相应责任。</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五、承诺本单位自觉接受行政管理部门、行业组织、社会公众、新闻舆论的监督。 </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七、承诺本单位在信用中国（江苏）网站中无违法违规、较重或严重失信记录。 </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八、承诺本单位提出政府采购质疑和投诉坚持依法依规、诚实信用原则。</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九、根据政府采购相关法律法规的规定需要作出的其他承诺。 </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十、承诺本单位若违背承诺约定，经查实，愿意接受行业主管部门和信用管理部门相应的规定处罚，承担违约责任，并依法承担相应的法律责任。</w:t>
      </w:r>
    </w:p>
    <w:p>
      <w:pPr>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十一、承诺本单位同意将以上承诺事项上网公示，违背承诺约定行为将作为失信信息，记录到常州市公共信用信息系统，并予以公开。</w:t>
      </w:r>
    </w:p>
    <w:p>
      <w:pPr>
        <w:pStyle w:val="250"/>
        <w:spacing w:line="276" w:lineRule="auto"/>
        <w:ind w:right="1050" w:rightChars="500" w:firstLine="2520" w:firstLineChars="1200"/>
        <w:jc w:val="both"/>
        <w:rPr>
          <w:rFonts w:hint="eastAsia" w:ascii="宋体" w:hAnsi="宋体" w:eastAsia="宋体" w:cs="宋体"/>
          <w:color w:val="auto"/>
          <w:sz w:val="21"/>
          <w:szCs w:val="21"/>
          <w:highlight w:val="none"/>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spacing w:line="360" w:lineRule="auto"/>
        <w:outlineLvl w:val="2"/>
        <w:rPr>
          <w:rFonts w:hint="eastAsia" w:ascii="宋体" w:hAnsi="宋体" w:eastAsia="宋体" w:cs="宋体"/>
          <w:color w:val="auto"/>
          <w:sz w:val="21"/>
          <w:szCs w:val="21"/>
          <w:highlight w:val="none"/>
        </w:rPr>
      </w:pPr>
    </w:p>
    <w:p>
      <w:pPr>
        <w:spacing w:line="360" w:lineRule="auto"/>
        <w:outlineLvl w:val="2"/>
        <w:rPr>
          <w:rFonts w:hint="eastAsia" w:ascii="宋体" w:hAnsi="宋体" w:eastAsia="宋体" w:cs="宋体"/>
          <w:color w:val="auto"/>
          <w:sz w:val="24"/>
          <w:szCs w:val="20"/>
          <w:highlight w:val="none"/>
        </w:rPr>
      </w:pPr>
    </w:p>
    <w:p>
      <w:pPr>
        <w:pStyle w:val="82"/>
        <w:ind w:left="0" w:leftChars="0" w:firstLine="0" w:firstLineChars="0"/>
        <w:rPr>
          <w:rFonts w:hint="eastAsia"/>
          <w:color w:val="auto"/>
          <w:highlight w:val="none"/>
        </w:rPr>
      </w:pPr>
    </w:p>
    <w:p>
      <w:pPr>
        <w:rPr>
          <w:rFonts w:hint="eastAsia"/>
          <w:color w:val="auto"/>
          <w:highlight w:val="none"/>
        </w:rPr>
      </w:pPr>
    </w:p>
    <w:p>
      <w:pPr>
        <w:pStyle w:val="82"/>
        <w:rPr>
          <w:rFonts w:hint="eastAsia"/>
          <w:color w:val="auto"/>
          <w:highlight w:val="none"/>
        </w:r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eastAsia="zh-CN"/>
        </w:rPr>
        <w:t>8</w:t>
      </w:r>
      <w:r>
        <w:rPr>
          <w:rFonts w:hint="eastAsia" w:ascii="宋体" w:hAnsi="宋体" w:eastAsia="宋体" w:cs="宋体"/>
          <w:b/>
          <w:bCs/>
          <w:color w:val="auto"/>
          <w:sz w:val="24"/>
          <w:szCs w:val="20"/>
          <w:highlight w:val="none"/>
        </w:rPr>
        <w:t xml:space="preserve">  报价一览表</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jc w:val="center"/>
        <w:rPr>
          <w:rFonts w:hint="eastAsia" w:ascii="宋体" w:hAnsi="宋体" w:eastAsia="宋体" w:cs="宋体"/>
          <w:b/>
          <w:color w:val="auto"/>
          <w:sz w:val="28"/>
          <w:szCs w:val="28"/>
          <w:highlight w:val="none"/>
        </w:rPr>
      </w:pPr>
      <w:bookmarkStart w:id="204" w:name="_Toc226965748"/>
      <w:bookmarkStart w:id="205" w:name="_Toc195842923"/>
      <w:bookmarkStart w:id="206" w:name="_Toc305158900"/>
      <w:bookmarkStart w:id="207" w:name="_Toc226965831"/>
      <w:bookmarkStart w:id="208" w:name="_Toc305158826"/>
      <w:bookmarkStart w:id="209" w:name="_Toc226337254"/>
      <w:bookmarkStart w:id="210" w:name="_Toc265228396"/>
      <w:bookmarkStart w:id="211" w:name="_Toc226309802"/>
      <w:bookmarkStart w:id="212" w:name="_Toc164608827"/>
      <w:bookmarkStart w:id="213" w:name="_Toc164608672"/>
      <w:bookmarkStart w:id="214" w:name="_Toc264969248"/>
      <w:r>
        <w:rPr>
          <w:rFonts w:hint="eastAsia" w:ascii="宋体" w:hAnsi="宋体" w:eastAsia="宋体" w:cs="宋体"/>
          <w:b/>
          <w:color w:val="auto"/>
          <w:sz w:val="28"/>
          <w:szCs w:val="28"/>
          <w:highlight w:val="none"/>
        </w:rPr>
        <w:t>报价一览表</w:t>
      </w:r>
      <w:bookmarkEnd w:id="204"/>
      <w:bookmarkEnd w:id="205"/>
      <w:bookmarkEnd w:id="206"/>
      <w:bookmarkEnd w:id="207"/>
      <w:bookmarkEnd w:id="208"/>
      <w:bookmarkEnd w:id="209"/>
      <w:bookmarkEnd w:id="210"/>
      <w:bookmarkEnd w:id="211"/>
      <w:bookmarkEnd w:id="212"/>
      <w:bookmarkEnd w:id="213"/>
      <w:bookmarkEnd w:id="214"/>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p>
    <w:p>
      <w:pPr>
        <w:tabs>
          <w:tab w:val="left" w:pos="1800"/>
          <w:tab w:val="left" w:pos="5580"/>
        </w:tabs>
        <w:ind w:firstLine="315" w:firstLineChars="150"/>
        <w:jc w:val="left"/>
        <w:rPr>
          <w:rFonts w:hint="eastAsia"/>
          <w:color w:val="auto"/>
          <w:sz w:val="21"/>
          <w:szCs w:val="21"/>
          <w:highlight w:val="none"/>
        </w:rPr>
      </w:pPr>
      <w:r>
        <w:rPr>
          <w:rFonts w:hint="eastAsia" w:ascii="宋体" w:hAnsi="宋体" w:eastAsia="宋体" w:cs="宋体"/>
          <w:color w:val="auto"/>
          <w:sz w:val="21"/>
          <w:szCs w:val="21"/>
          <w:highlight w:val="none"/>
        </w:rPr>
        <w:t>项目编号_______________     项目名称：_____________________</w:t>
      </w:r>
    </w:p>
    <w:tbl>
      <w:tblPr>
        <w:tblStyle w:val="44"/>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397"/>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vMerge w:val="restart"/>
            <w:noWrap w:val="0"/>
            <w:vAlign w:val="center"/>
          </w:tcPr>
          <w:p>
            <w:pPr>
              <w:widowControl/>
              <w:jc w:val="center"/>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 xml:space="preserve">报价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含税价</w:t>
            </w:r>
            <w:r>
              <w:rPr>
                <w:rFonts w:hint="eastAsia" w:ascii="宋体" w:hAnsi="宋体" w:eastAsia="宋体" w:cs="宋体"/>
                <w:color w:val="auto"/>
                <w:sz w:val="21"/>
                <w:szCs w:val="21"/>
                <w:highlight w:val="none"/>
              </w:rPr>
              <w:t>）</w:t>
            </w:r>
          </w:p>
        </w:tc>
        <w:tc>
          <w:tcPr>
            <w:tcW w:w="2397"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小写</w:t>
            </w:r>
          </w:p>
        </w:tc>
        <w:tc>
          <w:tcPr>
            <w:tcW w:w="3764" w:type="dxa"/>
            <w:noWrap w:val="0"/>
            <w:vAlign w:val="center"/>
          </w:tcPr>
          <w:p>
            <w:pPr>
              <w:widowControl/>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vMerge w:val="continue"/>
            <w:noWrap w:val="0"/>
            <w:vAlign w:val="center"/>
          </w:tcPr>
          <w:p>
            <w:pPr>
              <w:widowControl/>
              <w:jc w:val="center"/>
              <w:rPr>
                <w:rFonts w:hint="eastAsia" w:ascii="宋体" w:hAnsi="宋体" w:eastAsia="宋体" w:cs="宋体"/>
                <w:color w:val="auto"/>
                <w:sz w:val="21"/>
                <w:szCs w:val="21"/>
                <w:highlight w:val="none"/>
                <w:u w:val="single"/>
              </w:rPr>
            </w:pPr>
          </w:p>
        </w:tc>
        <w:tc>
          <w:tcPr>
            <w:tcW w:w="2397" w:type="dxa"/>
            <w:noWrap w:val="0"/>
            <w:vAlign w:val="center"/>
          </w:tcPr>
          <w:p>
            <w:pPr>
              <w:widowControl/>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大写</w:t>
            </w:r>
          </w:p>
        </w:tc>
        <w:tc>
          <w:tcPr>
            <w:tcW w:w="3764" w:type="dxa"/>
            <w:noWrap w:val="0"/>
            <w:vAlign w:val="center"/>
          </w:tcPr>
          <w:p>
            <w:pPr>
              <w:widowControl/>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6161" w:type="dxa"/>
            <w:gridSpan w:val="2"/>
            <w:noWrap w:val="0"/>
            <w:vAlign w:val="top"/>
          </w:tcPr>
          <w:p>
            <w:pPr>
              <w:widowControl/>
              <w:jc w:val="center"/>
              <w:rPr>
                <w:rFonts w:hint="eastAsia" w:ascii="宋体" w:hAnsi="宋体" w:eastAsia="宋体" w:cs="宋体"/>
                <w:color w:val="auto"/>
                <w:sz w:val="21"/>
                <w:szCs w:val="21"/>
                <w:highlight w:val="none"/>
              </w:rPr>
            </w:pPr>
          </w:p>
        </w:tc>
      </w:tr>
    </w:tbl>
    <w:p>
      <w:pPr>
        <w:autoSpaceDE w:val="0"/>
        <w:autoSpaceDN w:val="0"/>
        <w:adjustRightInd w:val="0"/>
        <w:snapToGrid w:val="0"/>
        <w:spacing w:before="25" w:after="25" w:line="360" w:lineRule="auto"/>
        <w:rPr>
          <w:color w:val="auto"/>
          <w:sz w:val="21"/>
          <w:szCs w:val="21"/>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bookmarkStart w:id="215" w:name="_Toc226965832"/>
      <w:bookmarkStart w:id="216" w:name="_Toc265228397"/>
      <w:bookmarkStart w:id="217" w:name="_Toc264969249"/>
      <w:bookmarkStart w:id="218" w:name="_Toc195842924"/>
      <w:bookmarkStart w:id="219" w:name="_Toc226309803"/>
      <w:bookmarkStart w:id="220" w:name="_Toc305158827"/>
      <w:bookmarkStart w:id="221" w:name="_Toc305158901"/>
      <w:bookmarkStart w:id="222" w:name="_Toc150480796"/>
      <w:bookmarkStart w:id="223" w:name="_Toc150774763"/>
      <w:bookmarkStart w:id="224" w:name="_Toc127151558"/>
      <w:bookmarkStart w:id="225" w:name="_Toc226337255"/>
      <w:bookmarkStart w:id="226" w:name="_Toc142311060"/>
      <w:bookmarkStart w:id="227" w:name="_Toc226965749"/>
      <w:r>
        <w:rPr>
          <w:rFonts w:hint="eastAsia" w:ascii="宋体" w:hAnsi="宋体" w:eastAsia="宋体" w:cs="宋体"/>
          <w:color w:val="auto"/>
          <w:sz w:val="24"/>
          <w:szCs w:val="20"/>
          <w:highlight w:val="none"/>
        </w:rPr>
        <w:br w:type="page"/>
      </w:r>
      <w:bookmarkEnd w:id="215"/>
      <w:bookmarkEnd w:id="216"/>
      <w:bookmarkEnd w:id="217"/>
      <w:bookmarkEnd w:id="218"/>
      <w:bookmarkEnd w:id="219"/>
      <w:bookmarkEnd w:id="220"/>
      <w:bookmarkEnd w:id="221"/>
      <w:bookmarkEnd w:id="222"/>
      <w:bookmarkEnd w:id="223"/>
      <w:bookmarkEnd w:id="224"/>
      <w:bookmarkEnd w:id="225"/>
      <w:bookmarkEnd w:id="226"/>
      <w:bookmarkEnd w:id="227"/>
      <w:bookmarkStart w:id="228" w:name="_Toc265228400"/>
      <w:bookmarkStart w:id="229" w:name="_Toc264969252"/>
      <w:bookmarkStart w:id="230" w:name="_Toc150480798"/>
      <w:bookmarkStart w:id="231" w:name="_Toc305158830"/>
      <w:bookmarkStart w:id="232" w:name="_Toc150774765"/>
      <w:bookmarkStart w:id="233" w:name="_Toc226337258"/>
      <w:bookmarkStart w:id="234" w:name="_Toc226309806"/>
      <w:bookmarkStart w:id="235" w:name="_Toc226965835"/>
      <w:bookmarkStart w:id="236" w:name="_Toc142311062"/>
      <w:bookmarkStart w:id="237" w:name="_Toc226965752"/>
      <w:bookmarkStart w:id="238" w:name="_Toc195842927"/>
      <w:bookmarkStart w:id="239" w:name="_Toc127151562"/>
      <w:bookmarkStart w:id="240" w:name="_Toc305158904"/>
      <w:bookmarkStart w:id="241" w:name="_Toc127151561"/>
      <w:bookmarkStart w:id="242" w:name="_Toc195842926"/>
      <w:bookmarkStart w:id="243" w:name="_Toc265228399"/>
      <w:bookmarkStart w:id="244" w:name="_Toc150774764"/>
      <w:bookmarkStart w:id="245" w:name="_Toc226965834"/>
      <w:bookmarkStart w:id="246" w:name="_Toc264969251"/>
      <w:bookmarkStart w:id="247" w:name="_Toc226965751"/>
      <w:bookmarkStart w:id="248" w:name="_Toc226337257"/>
      <w:bookmarkStart w:id="249" w:name="_Toc226309805"/>
      <w:bookmarkStart w:id="250" w:name="_Toc305158829"/>
      <w:bookmarkStart w:id="251" w:name="_Toc150480797"/>
      <w:bookmarkStart w:id="252" w:name="_Toc142311061"/>
      <w:bookmarkStart w:id="253" w:name="_Toc305158903"/>
      <w:r>
        <w:rPr>
          <w:rFonts w:hint="eastAsia" w:ascii="宋体" w:hAnsi="宋体" w:eastAsia="宋体" w:cs="宋体"/>
          <w:b/>
          <w:bCs/>
          <w:color w:val="auto"/>
          <w:sz w:val="24"/>
          <w:szCs w:val="20"/>
          <w:highlight w:val="none"/>
          <w:lang w:val="en-US" w:eastAsia="zh-CN"/>
        </w:rPr>
        <w:t>9</w:t>
      </w:r>
      <w:r>
        <w:rPr>
          <w:rFonts w:hint="eastAsia" w:ascii="宋体" w:hAnsi="宋体" w:eastAsia="宋体" w:cs="宋体"/>
          <w:b/>
          <w:bCs/>
          <w:color w:val="auto"/>
          <w:sz w:val="24"/>
          <w:szCs w:val="20"/>
          <w:highlight w:val="none"/>
        </w:rPr>
        <w:t xml:space="preserve">  合同条款偏离表</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rPr>
          <w:rFonts w:hint="eastAsia" w:ascii="宋体" w:hAnsi="宋体" w:eastAsia="宋体" w:cs="宋体"/>
          <w:color w:val="auto"/>
          <w:sz w:val="24"/>
          <w:szCs w:val="20"/>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合同条款偏离表</w:t>
      </w:r>
    </w:p>
    <w:p>
      <w:pPr>
        <w:spacing w:line="360" w:lineRule="auto"/>
        <w:rPr>
          <w:rFonts w:hint="eastAsia" w:ascii="宋体" w:hAnsi="宋体" w:eastAsia="宋体" w:cs="宋体"/>
          <w:color w:val="auto"/>
          <w:sz w:val="24"/>
          <w:szCs w:val="20"/>
          <w:highlight w:val="none"/>
        </w:rPr>
      </w:pPr>
    </w:p>
    <w:p>
      <w:pPr>
        <w:tabs>
          <w:tab w:val="left" w:pos="1800"/>
          <w:tab w:val="left" w:pos="5580"/>
        </w:tabs>
        <w:spacing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项目编号_______________     项目名称：_____________________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11"/>
        <w:gridCol w:w="1792"/>
        <w:gridCol w:w="1793"/>
        <w:gridCol w:w="221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23" w:type="dxa"/>
            <w:gridSpan w:val="6"/>
            <w:noWrap w:val="0"/>
            <w:vAlign w:val="center"/>
          </w:tcPr>
          <w:p>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对本项目合同条款的偏离情况（请进行勾选）：</w:t>
            </w:r>
          </w:p>
          <w:p>
            <w:pPr>
              <w:adjustRightInd w:val="0"/>
              <w:snapToGrid w:val="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□无偏离</w:t>
            </w:r>
            <w:r>
              <w:rPr>
                <w:rFonts w:hint="eastAsia" w:ascii="宋体" w:hAnsi="宋体" w:eastAsia="宋体" w:cs="宋体"/>
                <w:color w:val="auto"/>
                <w:sz w:val="21"/>
                <w:szCs w:val="21"/>
                <w:highlight w:val="none"/>
              </w:rPr>
              <w:t>（如无偏离，仅勾选无偏离即可）</w:t>
            </w:r>
          </w:p>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□有偏离</w:t>
            </w:r>
            <w:r>
              <w:rPr>
                <w:rFonts w:hint="eastAsia" w:ascii="宋体" w:hAnsi="宋体" w:eastAsia="宋体" w:cs="宋体"/>
                <w:color w:val="auto"/>
                <w:sz w:val="21"/>
                <w:szCs w:val="21"/>
                <w:highlight w:val="none"/>
              </w:rPr>
              <w:t>（如有负偏离，则须在本表中对负偏离项逐一列明）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8"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11"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磋商文件条目号（页码）</w:t>
            </w:r>
          </w:p>
        </w:tc>
        <w:tc>
          <w:tcPr>
            <w:tcW w:w="1792"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磋商文件要求</w:t>
            </w:r>
          </w:p>
        </w:tc>
        <w:tc>
          <w:tcPr>
            <w:tcW w:w="1793"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c>
          <w:tcPr>
            <w:tcW w:w="2210"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（据实填写）</w:t>
            </w:r>
          </w:p>
        </w:tc>
        <w:tc>
          <w:tcPr>
            <w:tcW w:w="739"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8"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211"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3"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210"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73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8"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211"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3"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210"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73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8"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211"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3"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210"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73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8"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211"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793"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210"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739" w:type="dxa"/>
            <w:noWrap w:val="0"/>
            <w:vAlign w:val="center"/>
          </w:tcPr>
          <w:p>
            <w:pPr>
              <w:adjustRightInd w:val="0"/>
              <w:snapToGrid w:val="0"/>
              <w:jc w:val="center"/>
              <w:rPr>
                <w:rFonts w:hint="eastAsia" w:ascii="宋体" w:hAnsi="宋体" w:eastAsia="宋体" w:cs="宋体"/>
                <w:color w:val="auto"/>
                <w:sz w:val="21"/>
                <w:szCs w:val="21"/>
                <w:highlight w:val="none"/>
              </w:rPr>
            </w:pPr>
          </w:p>
        </w:tc>
      </w:tr>
    </w:tbl>
    <w:p>
      <w:pPr>
        <w:tabs>
          <w:tab w:val="left" w:pos="1800"/>
          <w:tab w:val="left" w:pos="5580"/>
        </w:tabs>
        <w:jc w:val="left"/>
        <w:rPr>
          <w:rFonts w:hint="eastAsia" w:ascii="宋体" w:hAnsi="宋体" w:eastAsia="宋体" w:cs="宋体"/>
          <w:color w:val="auto"/>
          <w:sz w:val="21"/>
          <w:szCs w:val="21"/>
          <w:highlight w:val="none"/>
        </w:rPr>
      </w:pP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对合同条款中的所有要求，除本表所列明的所有偏离外，均视作供应商已对之理解和响应。</w:t>
      </w: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“偏离情况”列应据实填写“正偏离”或“负偏离”。</w:t>
      </w:r>
    </w:p>
    <w:p>
      <w:pPr>
        <w:spacing w:line="360" w:lineRule="auto"/>
        <w:rPr>
          <w:rFonts w:hint="eastAsia" w:ascii="宋体" w:hAnsi="宋体" w:eastAsia="宋体" w:cs="宋体"/>
          <w:color w:val="auto"/>
          <w:sz w:val="21"/>
          <w:szCs w:val="21"/>
          <w:highlight w:val="none"/>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pStyle w:val="82"/>
        <w:rPr>
          <w:rFonts w:hint="eastAsia"/>
          <w:color w:val="auto"/>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 xml:space="preserve">  </w:t>
      </w:r>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宋体" w:hAnsi="宋体" w:eastAsia="宋体" w:cs="宋体"/>
          <w:b/>
          <w:bCs/>
          <w:color w:val="auto"/>
          <w:sz w:val="24"/>
          <w:szCs w:val="20"/>
          <w:highlight w:val="none"/>
        </w:rPr>
        <w:t>采购需求偏离表</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采购需求偏离表</w:t>
      </w:r>
    </w:p>
    <w:p>
      <w:pPr>
        <w:jc w:val="center"/>
        <w:rPr>
          <w:rFonts w:hint="eastAsia" w:ascii="宋体" w:hAnsi="宋体" w:eastAsia="宋体" w:cs="宋体"/>
          <w:color w:val="auto"/>
          <w:sz w:val="36"/>
          <w:szCs w:val="36"/>
          <w:highlight w:val="none"/>
        </w:rPr>
      </w:pPr>
    </w:p>
    <w:p>
      <w:pPr>
        <w:tabs>
          <w:tab w:val="left" w:pos="1800"/>
          <w:tab w:val="left" w:pos="5580"/>
        </w:tabs>
        <w:spacing w:line="360" w:lineRule="auto"/>
        <w:ind w:firstLine="315" w:firstLineChars="1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项目编号___________________ 项目名称：_______________________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磋商文件条目号(页码)</w:t>
            </w: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磋商文件要求</w:t>
            </w: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（据实填写）</w:t>
            </w: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482"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384"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2126"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875" w:type="dxa"/>
            <w:noWrap w:val="0"/>
            <w:vAlign w:val="center"/>
          </w:tcPr>
          <w:p>
            <w:pPr>
              <w:adjustRightInd w:val="0"/>
              <w:snapToGrid w:val="0"/>
              <w:jc w:val="center"/>
              <w:rPr>
                <w:rFonts w:hint="eastAsia" w:ascii="宋体" w:hAnsi="宋体" w:eastAsia="宋体" w:cs="宋体"/>
                <w:color w:val="auto"/>
                <w:sz w:val="21"/>
                <w:szCs w:val="21"/>
                <w:highlight w:val="none"/>
              </w:rPr>
            </w:pPr>
          </w:p>
        </w:tc>
        <w:tc>
          <w:tcPr>
            <w:tcW w:w="1009" w:type="dxa"/>
            <w:noWrap w:val="0"/>
            <w:vAlign w:val="center"/>
          </w:tcPr>
          <w:p>
            <w:pPr>
              <w:adjustRightInd w:val="0"/>
              <w:snapToGrid w:val="0"/>
              <w:jc w:val="center"/>
              <w:rPr>
                <w:rFonts w:hint="eastAsia" w:ascii="宋体" w:hAnsi="宋体" w:eastAsia="宋体" w:cs="宋体"/>
                <w:color w:val="auto"/>
                <w:sz w:val="21"/>
                <w:szCs w:val="21"/>
                <w:highlight w:val="none"/>
              </w:rPr>
            </w:pPr>
          </w:p>
        </w:tc>
      </w:tr>
    </w:tbl>
    <w:p>
      <w:pPr>
        <w:tabs>
          <w:tab w:val="left" w:pos="1800"/>
          <w:tab w:val="left" w:pos="5580"/>
        </w:tabs>
        <w:spacing w:line="360" w:lineRule="auto"/>
        <w:ind w:firstLine="315" w:firstLineChars="150"/>
        <w:jc w:val="left"/>
        <w:rPr>
          <w:rFonts w:hint="eastAsia" w:ascii="宋体" w:hAnsi="宋体" w:eastAsia="宋体" w:cs="宋体"/>
          <w:color w:val="auto"/>
          <w:sz w:val="21"/>
          <w:szCs w:val="21"/>
          <w:highlight w:val="none"/>
          <w:u w:val="single"/>
        </w:rPr>
      </w:pPr>
    </w:p>
    <w:p>
      <w:pPr>
        <w:tabs>
          <w:tab w:val="left" w:pos="1800"/>
          <w:tab w:val="left" w:pos="5580"/>
        </w:tabs>
        <w:spacing w:line="360" w:lineRule="auto"/>
        <w:ind w:firstLine="315" w:firstLineChars="150"/>
        <w:jc w:val="left"/>
        <w:rPr>
          <w:rFonts w:hint="eastAsia" w:ascii="宋体" w:hAnsi="宋体" w:eastAsia="宋体" w:cs="宋体"/>
          <w:color w:val="auto"/>
          <w:sz w:val="21"/>
          <w:szCs w:val="21"/>
          <w:highlight w:val="none"/>
          <w:u w:val="single"/>
        </w:rPr>
      </w:pP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对磋商文件中的所有商务、技术要求，除本表所列明的所有偏离外，均视作供应商已对之理解和响应。此表中若无任何文字说明，内容为空白，则</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2.“偏离情况”列应据实填写“正偏离”或“负偏离”。</w:t>
      </w:r>
    </w:p>
    <w:p>
      <w:pPr>
        <w:keepNext w:val="0"/>
        <w:keepLines w:val="0"/>
        <w:pageBreakBefore w:val="0"/>
        <w:widowControl w:val="0"/>
        <w:tabs>
          <w:tab w:val="left" w:pos="1800"/>
          <w:tab w:val="left" w:pos="5580"/>
        </w:tabs>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w:t>
      </w:r>
      <w:r>
        <w:rPr>
          <w:rFonts w:hint="eastAsia" w:ascii="宋体" w:hAnsi="宋体" w:eastAsia="宋体" w:cs="宋体"/>
          <w:b/>
          <w:bCs/>
          <w:color w:val="auto"/>
          <w:sz w:val="24"/>
          <w:szCs w:val="20"/>
          <w:highlight w:val="none"/>
          <w:lang w:val="en-US" w:eastAsia="zh-CN"/>
        </w:rPr>
        <w:t xml:space="preserve">1 </w:t>
      </w:r>
      <w:r>
        <w:rPr>
          <w:rFonts w:hint="eastAsia" w:ascii="宋体" w:hAnsi="宋体" w:eastAsia="宋体" w:cs="宋体"/>
          <w:b/>
          <w:bCs/>
          <w:color w:val="auto"/>
          <w:sz w:val="24"/>
          <w:szCs w:val="20"/>
          <w:highlight w:val="none"/>
        </w:rPr>
        <w:t xml:space="preserve"> 项目实施方案等，包括但不限于如下主题：</w:t>
      </w:r>
    </w:p>
    <w:p>
      <w:pPr>
        <w:snapToGrid w:val="0"/>
        <w:spacing w:line="56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1）方案的完整性</w:t>
      </w:r>
      <w:r>
        <w:rPr>
          <w:rFonts w:hint="eastAsia" w:ascii="宋体" w:hAnsi="宋体" w:eastAsia="宋体" w:cs="宋体"/>
          <w:color w:val="auto"/>
          <w:sz w:val="24"/>
          <w:szCs w:val="20"/>
          <w:highlight w:val="none"/>
          <w:lang w:eastAsia="zh-CN"/>
        </w:rPr>
        <w:t>；</w:t>
      </w:r>
    </w:p>
    <w:p>
      <w:pPr>
        <w:snapToGrid w:val="0"/>
        <w:spacing w:line="56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投资控制</w:t>
      </w:r>
      <w:r>
        <w:rPr>
          <w:rFonts w:hint="eastAsia" w:ascii="宋体" w:hAnsi="宋体" w:eastAsia="宋体" w:cs="宋体"/>
          <w:color w:val="auto"/>
          <w:sz w:val="24"/>
          <w:szCs w:val="20"/>
          <w:highlight w:val="none"/>
        </w:rPr>
        <w:t>；</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3）进度控制；</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质量控制</w:t>
      </w:r>
      <w:r>
        <w:rPr>
          <w:rFonts w:hint="eastAsia" w:ascii="宋体" w:hAnsi="宋体" w:eastAsia="宋体" w:cs="宋体"/>
          <w:color w:val="auto"/>
          <w:sz w:val="24"/>
          <w:szCs w:val="24"/>
          <w:highlight w:val="none"/>
        </w:rPr>
        <w:t>；</w:t>
      </w:r>
    </w:p>
    <w:p>
      <w:pPr>
        <w:snapToGrid w:val="0"/>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ascii="宋体" w:hAnsi="宋体" w:cs="宋体"/>
          <w:szCs w:val="21"/>
        </w:rPr>
        <w:t>沟通</w:t>
      </w:r>
      <w:r>
        <w:rPr>
          <w:rFonts w:hint="eastAsia" w:ascii="宋体" w:hAnsi="宋体" w:eastAsia="宋体" w:cs="宋体"/>
          <w:color w:val="auto"/>
          <w:sz w:val="24"/>
          <w:szCs w:val="24"/>
          <w:highlight w:val="none"/>
        </w:rPr>
        <w:t>协调</w:t>
      </w:r>
      <w:r>
        <w:rPr>
          <w:rFonts w:hint="eastAsia" w:ascii="宋体" w:hAnsi="宋体" w:eastAsia="宋体" w:cs="宋体"/>
          <w:color w:val="auto"/>
          <w:sz w:val="24"/>
          <w:szCs w:val="24"/>
          <w:highlight w:val="none"/>
          <w:lang w:eastAsia="zh-CN"/>
        </w:rPr>
        <w:t>；</w:t>
      </w:r>
    </w:p>
    <w:p>
      <w:pPr>
        <w:snapToGrid w:val="0"/>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应急处理</w:t>
      </w:r>
      <w:r>
        <w:rPr>
          <w:rFonts w:hint="eastAsia" w:ascii="宋体" w:hAnsi="宋体" w:eastAsia="宋体" w:cs="宋体"/>
          <w:color w:val="auto"/>
          <w:sz w:val="24"/>
          <w:szCs w:val="24"/>
          <w:highlight w:val="none"/>
          <w:lang w:eastAsia="zh-CN"/>
        </w:rPr>
        <w:t>；</w:t>
      </w:r>
    </w:p>
    <w:p>
      <w:pPr>
        <w:snapToGrid w:val="0"/>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7）其他。</w:t>
      </w:r>
    </w:p>
    <w:p>
      <w:pPr>
        <w:snapToGrid w:val="0"/>
        <w:spacing w:line="560" w:lineRule="exact"/>
        <w:ind w:firstLine="480" w:firstLineChars="200"/>
        <w:rPr>
          <w:rFonts w:hint="eastAsia" w:ascii="宋体" w:hAnsi="宋体" w:eastAsia="宋体" w:cs="宋体"/>
          <w:color w:val="auto"/>
          <w:sz w:val="24"/>
          <w:szCs w:val="24"/>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w:t>
      </w:r>
      <w:r>
        <w:rPr>
          <w:rFonts w:hint="eastAsia" w:ascii="宋体" w:hAnsi="宋体" w:eastAsia="宋体" w:cs="宋体"/>
          <w:b/>
          <w:bCs/>
          <w:color w:val="auto"/>
          <w:sz w:val="24"/>
          <w:szCs w:val="20"/>
          <w:highlight w:val="none"/>
          <w:lang w:val="en-US" w:eastAsia="zh-CN"/>
        </w:rPr>
        <w:t xml:space="preserve">2  </w:t>
      </w:r>
      <w:r>
        <w:rPr>
          <w:rFonts w:hint="eastAsia" w:ascii="宋体" w:hAnsi="宋体" w:eastAsia="宋体" w:cs="宋体"/>
          <w:b/>
          <w:bCs/>
          <w:color w:val="auto"/>
          <w:sz w:val="24"/>
          <w:szCs w:val="20"/>
          <w:highlight w:val="none"/>
        </w:rPr>
        <w:t>参加本项目人员一览表</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参加本项目人员一览表</w:t>
      </w:r>
    </w:p>
    <w:p>
      <w:pPr>
        <w:snapToGrid w:val="0"/>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项目名称：_______________________</w:t>
      </w:r>
    </w:p>
    <w:tbl>
      <w:tblPr>
        <w:tblStyle w:val="44"/>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833"/>
        <w:gridCol w:w="1057"/>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33"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w:t>
            </w:r>
          </w:p>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项目经历或主要工作</w:t>
            </w:r>
          </w:p>
          <w:p>
            <w:pPr>
              <w:tabs>
                <w:tab w:val="left" w:pos="9765"/>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833"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9765"/>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tabs>
          <w:tab w:val="left" w:pos="9765"/>
        </w:tabs>
        <w:autoSpaceDE w:val="0"/>
        <w:autoSpaceDN w:val="0"/>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lang w:val="zh-CN"/>
        </w:rPr>
        <w:t>注：参加本项目人员须是投标人正式职工。</w:t>
      </w:r>
    </w:p>
    <w:p>
      <w:pPr>
        <w:tabs>
          <w:tab w:val="left" w:pos="9765"/>
        </w:tabs>
        <w:autoSpaceDE w:val="0"/>
        <w:autoSpaceDN w:val="0"/>
        <w:adjustRightInd w:val="0"/>
        <w:snapToGrid w:val="0"/>
        <w:rPr>
          <w:rFonts w:hint="eastAsia" w:ascii="宋体" w:hAnsi="宋体" w:eastAsia="宋体" w:cs="宋体"/>
          <w:b/>
          <w:color w:val="auto"/>
          <w:sz w:val="21"/>
          <w:szCs w:val="21"/>
          <w:highlight w:val="none"/>
          <w:lang w:val="zh-CN"/>
        </w:rPr>
      </w:pPr>
    </w:p>
    <w:p>
      <w:pPr>
        <w:snapToGrid w:val="0"/>
        <w:spacing w:line="360" w:lineRule="auto"/>
        <w:rPr>
          <w:rFonts w:hint="eastAsia" w:ascii="宋体" w:hAnsi="宋体" w:eastAsia="宋体" w:cs="宋体"/>
          <w:color w:val="auto"/>
          <w:sz w:val="21"/>
          <w:szCs w:val="21"/>
          <w:highlight w:val="none"/>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rPr>
          <w:rFonts w:hint="eastAsia" w:ascii="宋体" w:hAnsi="宋体" w:eastAsia="宋体" w:cs="宋体"/>
          <w:color w:val="auto"/>
          <w:kern w:val="0"/>
          <w:sz w:val="22"/>
          <w:highlight w:val="none"/>
        </w:rPr>
      </w:pPr>
      <w:bookmarkStart w:id="254" w:name="_Toc288738397"/>
      <w:bookmarkStart w:id="255" w:name="_Toc288738839"/>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82"/>
        <w:rPr>
          <w:rFonts w:hint="eastAsia"/>
          <w:color w:val="auto"/>
          <w:highlight w:val="none"/>
        </w:rPr>
      </w:pPr>
    </w:p>
    <w:p>
      <w:pPr>
        <w:pStyle w:val="82"/>
        <w:ind w:left="0" w:leftChars="0" w:firstLine="0" w:firstLineChars="0"/>
        <w:rPr>
          <w:rFonts w:hint="eastAsia"/>
          <w:color w:val="auto"/>
          <w:highlight w:val="none"/>
        </w:rPr>
      </w:pPr>
    </w:p>
    <w:p>
      <w:pP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w:t>
      </w:r>
      <w:r>
        <w:rPr>
          <w:rFonts w:hint="eastAsia" w:ascii="宋体" w:hAnsi="宋体" w:eastAsia="宋体" w:cs="宋体"/>
          <w:b/>
          <w:bCs/>
          <w:color w:val="auto"/>
          <w:sz w:val="24"/>
          <w:szCs w:val="20"/>
          <w:highlight w:val="none"/>
          <w:lang w:val="en-US" w:eastAsia="zh-CN"/>
        </w:rPr>
        <w:t>3</w:t>
      </w:r>
      <w:r>
        <w:rPr>
          <w:rFonts w:hint="eastAsia" w:ascii="宋体" w:hAnsi="宋体" w:eastAsia="宋体" w:cs="宋体"/>
          <w:b/>
          <w:bCs/>
          <w:color w:val="auto"/>
          <w:sz w:val="24"/>
          <w:szCs w:val="20"/>
          <w:highlight w:val="none"/>
        </w:rPr>
        <w:t xml:space="preserve">  相关业绩案例一览表</w:t>
      </w:r>
    </w:p>
    <w:p>
      <w:pPr>
        <w:rPr>
          <w:rFonts w:hint="eastAsia" w:ascii="宋体" w:hAnsi="宋体" w:eastAsia="宋体" w:cs="宋体"/>
          <w:color w:val="auto"/>
          <w:sz w:val="24"/>
          <w:szCs w:val="20"/>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相关业绩案例一览表</w:t>
      </w:r>
      <w:bookmarkEnd w:id="254"/>
      <w:bookmarkEnd w:id="255"/>
    </w:p>
    <w:p>
      <w:pPr>
        <w:snapToGrid w:val="0"/>
        <w:spacing w:line="360" w:lineRule="auto"/>
        <w:jc w:val="center"/>
        <w:rPr>
          <w:rFonts w:hint="eastAsia" w:ascii="宋体" w:hAnsi="宋体" w:eastAsia="宋体" w:cs="宋体"/>
          <w:b/>
          <w:color w:val="auto"/>
          <w:sz w:val="28"/>
          <w:szCs w:val="30"/>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项目名称：_______________________</w:t>
      </w:r>
    </w:p>
    <w:tbl>
      <w:tblPr>
        <w:tblStyle w:val="44"/>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tblPrEx>
          <w:tblCellMar>
            <w:top w:w="0" w:type="dxa"/>
            <w:left w:w="108" w:type="dxa"/>
            <w:bottom w:w="0" w:type="dxa"/>
            <w:right w:w="108" w:type="dxa"/>
          </w:tblCellMar>
        </w:tblPrEx>
        <w:trPr>
          <w:wBefore w:w="0" w:type="dxa"/>
          <w:wAfter w:w="0" w:type="dxa"/>
          <w:trHeight w:val="498" w:hRule="atLeast"/>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ind w:hanging="523"/>
              <w:jc w:val="center"/>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pPr>
              <w:tabs>
                <w:tab w:val="left" w:pos="9765"/>
              </w:tabs>
              <w:autoSpaceDE w:val="0"/>
              <w:autoSpaceDN w:val="0"/>
              <w:adjustRightInd w:val="0"/>
              <w:snapToGrid w:val="0"/>
              <w:spacing w:line="360" w:lineRule="auto"/>
              <w:ind w:hanging="523"/>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wBefore w:w="0" w:type="dxa"/>
          <w:wAfter w:w="0" w:type="dxa"/>
          <w:jc w:val="center"/>
        </w:trPr>
        <w:tc>
          <w:tcPr>
            <w:tcW w:w="1284"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21"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198"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730"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c>
          <w:tcPr>
            <w:tcW w:w="1597" w:type="dxa"/>
            <w:tcBorders>
              <w:top w:val="single" w:color="auto" w:sz="6" w:space="0"/>
              <w:left w:val="single" w:color="auto" w:sz="6" w:space="0"/>
              <w:bottom w:val="single" w:color="auto" w:sz="6" w:space="0"/>
              <w:right w:val="single" w:color="auto" w:sz="6" w:space="0"/>
            </w:tcBorders>
            <w:noWrap w:val="0"/>
            <w:vAlign w:val="top"/>
          </w:tcPr>
          <w:p>
            <w:pPr>
              <w:tabs>
                <w:tab w:val="left" w:pos="9765"/>
              </w:tabs>
              <w:autoSpaceDE w:val="0"/>
              <w:autoSpaceDN w:val="0"/>
              <w:adjustRightInd w:val="0"/>
              <w:snapToGrid w:val="0"/>
              <w:spacing w:line="360" w:lineRule="auto"/>
              <w:rPr>
                <w:rFonts w:hint="eastAsia" w:ascii="宋体" w:hAnsi="宋体" w:eastAsia="宋体" w:cs="宋体"/>
                <w:color w:val="auto"/>
                <w:sz w:val="21"/>
                <w:szCs w:val="21"/>
                <w:highlight w:val="none"/>
              </w:rPr>
            </w:pPr>
          </w:p>
        </w:tc>
      </w:tr>
    </w:tbl>
    <w:p>
      <w:pPr>
        <w:tabs>
          <w:tab w:val="left" w:pos="9765"/>
        </w:tabs>
        <w:autoSpaceDE w:val="0"/>
        <w:autoSpaceDN w:val="0"/>
        <w:adjustRightInd w:val="0"/>
        <w:snapToGrid w:val="0"/>
        <w:rPr>
          <w:rFonts w:hint="eastAsia" w:ascii="宋体" w:hAnsi="宋体" w:eastAsia="宋体" w:cs="宋体"/>
          <w:color w:val="auto"/>
          <w:sz w:val="21"/>
          <w:szCs w:val="21"/>
          <w:highlight w:val="none"/>
          <w:lang w:val="zh-CN"/>
        </w:rPr>
      </w:pPr>
    </w:p>
    <w:p>
      <w:pPr>
        <w:snapToGrid w:val="0"/>
        <w:spacing w:line="360" w:lineRule="auto"/>
        <w:rPr>
          <w:rFonts w:hint="eastAsia" w:ascii="宋体" w:hAnsi="宋体" w:eastAsia="宋体" w:cs="宋体"/>
          <w:color w:val="auto"/>
          <w:sz w:val="21"/>
          <w:szCs w:val="21"/>
          <w:highlight w:val="none"/>
        </w:rPr>
      </w:pP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val="zh-CN"/>
        </w:rPr>
        <w:t>：___________</w:t>
      </w:r>
    </w:p>
    <w:p>
      <w:pPr>
        <w:autoSpaceDE w:val="0"/>
        <w:autoSpaceDN w:val="0"/>
        <w:adjustRightInd w:val="0"/>
        <w:snapToGrid w:val="0"/>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p>
    <w:p>
      <w:pPr>
        <w:pStyle w:val="82"/>
        <w:rPr>
          <w:rFonts w:hint="eastAsia" w:ascii="宋体" w:hAnsi="宋体" w:eastAsia="宋体" w:cs="宋体"/>
          <w:color w:val="auto"/>
          <w:sz w:val="24"/>
          <w:szCs w:val="20"/>
          <w:highlight w:val="none"/>
        </w:rPr>
      </w:pPr>
    </w:p>
    <w:p>
      <w:pPr>
        <w:rPr>
          <w:rFonts w:hint="eastAsia"/>
          <w:color w:val="auto"/>
          <w:highlight w:val="none"/>
        </w:rPr>
      </w:pPr>
    </w:p>
    <w:p>
      <w:pPr>
        <w:spacing w:line="360" w:lineRule="auto"/>
        <w:outlineLvl w:val="2"/>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b/>
          <w:bCs/>
          <w:color w:val="auto"/>
          <w:sz w:val="24"/>
          <w:szCs w:val="20"/>
          <w:highlight w:val="none"/>
        </w:rPr>
        <w:t>1</w:t>
      </w:r>
      <w:r>
        <w:rPr>
          <w:rFonts w:hint="eastAsia" w:ascii="宋体" w:hAnsi="宋体" w:eastAsia="宋体" w:cs="宋体"/>
          <w:b/>
          <w:bCs/>
          <w:color w:val="auto"/>
          <w:sz w:val="24"/>
          <w:szCs w:val="20"/>
          <w:highlight w:val="none"/>
          <w:lang w:val="en-US" w:eastAsia="zh-CN"/>
        </w:rPr>
        <w:t xml:space="preserve">4  </w:t>
      </w:r>
      <w:r>
        <w:rPr>
          <w:rFonts w:hint="eastAsia" w:ascii="宋体" w:hAnsi="宋体" w:eastAsia="宋体" w:cs="宋体"/>
          <w:b/>
          <w:bCs/>
          <w:color w:val="auto"/>
          <w:sz w:val="24"/>
          <w:szCs w:val="20"/>
          <w:highlight w:val="none"/>
          <w:lang w:val="en-US" w:eastAsia="zh-CN"/>
        </w:rPr>
        <w:t>疫情登记表（实质性格式）</w:t>
      </w:r>
    </w:p>
    <w:p>
      <w:pPr>
        <w:ind w:firstLine="281" w:firstLineChars="1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t>疫情期间参与政府采购活动开评标人员健康信息登记表</w:t>
      </w:r>
    </w:p>
    <w:tbl>
      <w:tblPr>
        <w:tblStyle w:val="4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582" w:type="dxa"/>
            <w:noWrap w:val="0"/>
            <w:vAlign w:val="center"/>
          </w:tcPr>
          <w:p>
            <w:pPr>
              <w:jc w:val="center"/>
              <w:rPr>
                <w:rFonts w:hint="eastAsia" w:ascii="宋体" w:hAnsi="宋体" w:eastAsia="宋体" w:cs="宋体"/>
                <w:color w:val="auto"/>
                <w:sz w:val="21"/>
                <w:szCs w:val="21"/>
                <w:highlight w:val="none"/>
              </w:rPr>
            </w:pPr>
          </w:p>
        </w:tc>
        <w:tc>
          <w:tcPr>
            <w:tcW w:w="1537" w:type="dxa"/>
            <w:gridSpan w:val="3"/>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3482" w:type="dxa"/>
            <w:gridSpan w:val="2"/>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6601" w:type="dxa"/>
            <w:gridSpan w:val="6"/>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6601" w:type="dxa"/>
            <w:gridSpan w:val="6"/>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个人住址</w:t>
            </w:r>
          </w:p>
        </w:tc>
        <w:tc>
          <w:tcPr>
            <w:tcW w:w="6601" w:type="dxa"/>
            <w:gridSpan w:val="6"/>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tc>
        <w:tc>
          <w:tcPr>
            <w:tcW w:w="2142" w:type="dxa"/>
            <w:gridSpan w:val="3"/>
            <w:noWrap w:val="0"/>
            <w:vAlign w:val="center"/>
          </w:tcPr>
          <w:p>
            <w:pPr>
              <w:jc w:val="center"/>
              <w:rPr>
                <w:rFonts w:hint="eastAsia" w:ascii="宋体" w:hAnsi="宋体" w:eastAsia="宋体" w:cs="宋体"/>
                <w:color w:val="auto"/>
                <w:sz w:val="21"/>
                <w:szCs w:val="21"/>
                <w:highlight w:val="none"/>
              </w:rPr>
            </w:pPr>
          </w:p>
        </w:tc>
        <w:tc>
          <w:tcPr>
            <w:tcW w:w="1545" w:type="dxa"/>
            <w:gridSpan w:val="2"/>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个人手机</w:t>
            </w:r>
          </w:p>
        </w:tc>
        <w:tc>
          <w:tcPr>
            <w:tcW w:w="2914"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人员身份</w:t>
            </w:r>
          </w:p>
        </w:tc>
        <w:tc>
          <w:tcPr>
            <w:tcW w:w="6601" w:type="dxa"/>
            <w:gridSpan w:val="6"/>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□采购人代表  □供应商代表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01" w:type="dxa"/>
            <w:gridSpan w:val="6"/>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97" w:type="dxa"/>
            <w:gridSpan w:val="7"/>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近14天内是否来自（或途径）疫情重点地区和高风险地区？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离开常州往</w:t>
            </w:r>
          </w:p>
        </w:tc>
        <w:tc>
          <w:tcPr>
            <w:tcW w:w="2122" w:type="dxa"/>
            <w:gridSpan w:val="2"/>
            <w:noWrap w:val="0"/>
            <w:vAlign w:val="center"/>
          </w:tcPr>
          <w:p>
            <w:pPr>
              <w:jc w:val="center"/>
              <w:rPr>
                <w:rFonts w:hint="eastAsia" w:ascii="宋体" w:hAnsi="宋体" w:eastAsia="宋体" w:cs="宋体"/>
                <w:color w:val="auto"/>
                <w:sz w:val="21"/>
                <w:szCs w:val="21"/>
                <w:highlight w:val="none"/>
              </w:rPr>
            </w:pPr>
          </w:p>
        </w:tc>
        <w:tc>
          <w:tcPr>
            <w:tcW w:w="1565" w:type="dxa"/>
            <w:gridSpan w:val="3"/>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返常日期</w:t>
            </w:r>
          </w:p>
        </w:tc>
        <w:tc>
          <w:tcPr>
            <w:tcW w:w="2914"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途径（换乘）</w:t>
            </w:r>
          </w:p>
        </w:tc>
        <w:tc>
          <w:tcPr>
            <w:tcW w:w="2122" w:type="dxa"/>
            <w:gridSpan w:val="2"/>
            <w:noWrap w:val="0"/>
            <w:vAlign w:val="center"/>
          </w:tcPr>
          <w:p>
            <w:pPr>
              <w:jc w:val="center"/>
              <w:rPr>
                <w:rFonts w:hint="eastAsia" w:ascii="宋体" w:hAnsi="宋体" w:eastAsia="宋体" w:cs="宋体"/>
                <w:color w:val="auto"/>
                <w:sz w:val="21"/>
                <w:szCs w:val="21"/>
                <w:highlight w:val="none"/>
              </w:rPr>
            </w:pPr>
          </w:p>
        </w:tc>
        <w:tc>
          <w:tcPr>
            <w:tcW w:w="1565" w:type="dxa"/>
            <w:gridSpan w:val="3"/>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途径日期</w:t>
            </w:r>
          </w:p>
        </w:tc>
        <w:tc>
          <w:tcPr>
            <w:tcW w:w="2914"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8297" w:type="dxa"/>
            <w:gridSpan w:val="7"/>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近14天内是否有与来自疫情重点地区和高风险地区的人员接触情况？</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82" w:hRule="atLeast"/>
        </w:trPr>
        <w:tc>
          <w:tcPr>
            <w:tcW w:w="8297" w:type="dxa"/>
            <w:gridSpan w:val="7"/>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本人承诺以上信息真实准确。如有不实，愿承担由此引起的一切后果及法律责任。</w:t>
            </w:r>
          </w:p>
          <w:p>
            <w:pPr>
              <w:jc w:val="left"/>
              <w:rPr>
                <w:rFonts w:hint="eastAsia" w:ascii="宋体" w:hAnsi="宋体" w:eastAsia="宋体" w:cs="宋体"/>
                <w:color w:val="auto"/>
                <w:sz w:val="21"/>
                <w:szCs w:val="21"/>
                <w:highlight w:val="none"/>
              </w:rPr>
            </w:pPr>
          </w:p>
          <w:p>
            <w:pPr>
              <w:wordWrap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申报人（签名）： </w:t>
            </w:r>
          </w:p>
          <w:p>
            <w:pPr>
              <w:jc w:val="left"/>
              <w:rPr>
                <w:rFonts w:hint="eastAsia" w:ascii="宋体" w:hAnsi="宋体" w:eastAsia="宋体" w:cs="宋体"/>
                <w:color w:val="auto"/>
                <w:sz w:val="21"/>
                <w:szCs w:val="21"/>
                <w:highlight w:val="none"/>
              </w:rPr>
            </w:pP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                                 日期：</w:t>
            </w:r>
          </w:p>
        </w:tc>
      </w:tr>
    </w:tbl>
    <w:p>
      <w:pPr>
        <w:pStyle w:val="4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存在瞒报或审查不严的企业，一经发现将严肃处理，在诚信体系中予以记录，并报有关部门依法追究责任。</w:t>
      </w:r>
    </w:p>
    <w:p>
      <w:pPr>
        <w:pStyle w:val="4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18"/>
          <w:szCs w:val="18"/>
          <w:highlight w:val="none"/>
        </w:rPr>
        <w:sectPr>
          <w:pgSz w:w="11907" w:h="16839"/>
          <w:pgMar w:top="1440" w:right="1800" w:bottom="1440" w:left="1800" w:header="851" w:footer="992" w:gutter="0"/>
          <w:pgBorders>
            <w:top w:val="none" w:sz="0" w:space="0"/>
            <w:left w:val="none" w:sz="0" w:space="0"/>
            <w:bottom w:val="none" w:sz="0" w:space="0"/>
            <w:right w:val="none" w:sz="0" w:space="0"/>
          </w:pgBorders>
          <w:pgNumType w:fmt="decimal" w:chapStyle="1"/>
          <w:cols w:space="720" w:num="1"/>
          <w:docGrid w:type="lines" w:linePitch="312" w:charSpace="0"/>
        </w:sectPr>
      </w:pPr>
      <w:r>
        <w:rPr>
          <w:rFonts w:hint="eastAsia" w:ascii="宋体" w:hAnsi="宋体" w:eastAsia="宋体" w:cs="宋体"/>
          <w:b/>
          <w:bCs/>
          <w:snapToGrid w:val="0"/>
          <w:color w:val="auto"/>
          <w:kern w:val="0"/>
          <w:sz w:val="18"/>
          <w:szCs w:val="18"/>
          <w:highlight w:val="none"/>
        </w:rPr>
        <w:t>备注：供应商在开评标现场须</w:t>
      </w:r>
      <w:r>
        <w:rPr>
          <w:rFonts w:hint="eastAsia" w:ascii="宋体" w:hAnsi="宋体" w:eastAsia="宋体" w:cs="宋体"/>
          <w:b/>
          <w:bCs/>
          <w:snapToGrid w:val="0"/>
          <w:color w:val="auto"/>
          <w:kern w:val="0"/>
          <w:sz w:val="18"/>
          <w:szCs w:val="18"/>
          <w:highlight w:val="none"/>
          <w:lang w:val="en-US" w:eastAsia="zh-CN"/>
        </w:rPr>
        <w:t>单独</w:t>
      </w:r>
      <w:r>
        <w:rPr>
          <w:rFonts w:hint="eastAsia" w:ascii="宋体" w:hAnsi="宋体" w:eastAsia="宋体" w:cs="宋体"/>
          <w:b/>
          <w:bCs/>
          <w:snapToGrid w:val="0"/>
          <w:color w:val="auto"/>
          <w:kern w:val="0"/>
          <w:sz w:val="18"/>
          <w:szCs w:val="18"/>
          <w:highlight w:val="none"/>
        </w:rPr>
        <w:t>提供纸质健康信息登记表原件，加盖单位公章。</w:t>
      </w:r>
    </w:p>
    <w:p>
      <w:pPr>
        <w:rPr>
          <w:rFonts w:hint="default" w:eastAsia="宋体"/>
          <w:b/>
          <w:bCs/>
          <w:color w:val="auto"/>
          <w:highlight w:val="none"/>
          <w:lang w:val="en-US" w:eastAsia="zh-CN"/>
        </w:rPr>
      </w:pPr>
      <w:r>
        <w:rPr>
          <w:rFonts w:hint="eastAsia" w:ascii="宋体" w:hAnsi="宋体" w:eastAsia="宋体" w:cs="宋体"/>
          <w:b/>
          <w:bCs/>
          <w:color w:val="auto"/>
          <w:sz w:val="24"/>
          <w:szCs w:val="20"/>
          <w:highlight w:val="none"/>
          <w:lang w:val="en-US" w:eastAsia="zh-CN"/>
        </w:rPr>
        <w:t>15  磋商文件要求提供或供应商认为应附的其他材料</w:t>
      </w:r>
    </w:p>
    <w:p>
      <w:pPr>
        <w:widowControl/>
        <w:jc w:val="left"/>
        <w:rPr>
          <w:rFonts w:hint="eastAsia" w:ascii="宋体" w:hAnsi="宋体" w:eastAsia="宋体" w:cs="宋体"/>
          <w:b/>
          <w:color w:val="auto"/>
          <w:sz w:val="36"/>
          <w:szCs w:val="36"/>
          <w:highlight w:val="none"/>
        </w:rPr>
      </w:pPr>
    </w:p>
    <w:sectPr>
      <w:headerReference r:id="rId15" w:type="first"/>
      <w:footerReference r:id="rId17" w:type="first"/>
      <w:headerReference r:id="rId14" w:type="even"/>
      <w:footerReference r:id="rId16"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287"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WDaDN8BAADBAwAADgAAAAAA&#10;AAABACAAAAAeAQAAZHJzL2Uyb0RvYy54bWxQSwUGAAAAAAYABgBZAQAAbw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PPnOABAADBAwAADgAAAGRycy9lMm9Eb2MueG1srVNBrtMwEN0jcQfL&#10;e5o0SK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a84c8LSwC/fv11+/Lr8/MqW&#10;5fMqKdT7sKbEO0+pcXgFA+3N7A/kTMSHFm36EyVGcdL3fNVXDZHJdGlVrVYlhSTF5gPhF/fXPYb4&#10;RoFlyag50gCzruL0LsQxdU5J1RzcamPyEI37y0GYyVOk3scekxWH/TAR2kNzJj70EqhOB/iFs572&#10;oOaO1p4z89aRzGllZgNnYz8bwkm6WPPI2Wi+juNqHT3qQ5eXLTUV/Mtj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sTz5zgAQAAwQMAAA4AAAAA&#10;AAAAAQAgAAAAHgEAAGRycy9lMm9Eb2MueG1sUEsFBgAAAAAGAAYAWQEAAHA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3Cw+zgAQAAwQMAAA4AAAAA&#10;AAAAAQAgAAAAHgEAAGRycy9lMm9Eb2MueG1sUEsFBgAAAAAGAAYAWQEAAHA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O85Rn4QEAAMEDAAAOAAAA&#10;AAAAAAEAIAAAAB4BAABkcnMvZTJvRG9jLnhtbFBLBQYAAAAABgAGAFkBAABx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307"/>
        <w:tab w:val="clear" w:pos="8306"/>
      </w:tabs>
      <w:rPr>
        <w:rFonts w:ascii="宋体" w:hAnsi="宋体" w:cs="宋体"/>
        <w:szCs w:val="16"/>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LbIPG4QEAAMEDAAAOAAAA&#10;AAAAAAEAIAAAAB4BAABkcnMvZTJvRG9jLnhtbFBLBQYAAAAABgAGAFkBAABx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7"/>
      </w:tabs>
      <w:snapToGrid w:val="0"/>
      <w:jc w:val="left"/>
      <w:rPr>
        <w:rFonts w:ascii="宋体" w:hAnsi="宋体" w:eastAsia="宋体" w:cs="宋体"/>
        <w:kern w:val="2"/>
        <w:sz w:val="16"/>
        <w:szCs w:val="16"/>
        <w:lang w:val="en-US" w:eastAsia="zh-CN" w:bidi="ar-S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MllR+4QEAAMEDAAAOAAAA&#10;AAAAAAEAIAAAAB4BAABkcnMvZTJvRG9jLnhtbFBLBQYAAAAABgAGAFkBAABx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ascii="Times New Roman" w:hAnsi="Times New Roman" w:eastAsia="宋体" w:cs="Times New Roman"/>
        <w:kern w:val="2"/>
        <w:sz w:val="16"/>
        <w:lang w:val="en-US" w:eastAsia="zh-CN" w:bidi="ar-S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0"/>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rFonts w:hint="eastAsia"/>
        <w:u w:val="none"/>
      </w:rPr>
      <w:t xml:space="preserve"> </w:t>
    </w:r>
    <w:r>
      <w:rPr>
        <w:rFonts w:hint="eastAsia"/>
        <w:u w:val="none"/>
      </w:rPr>
      <w:drawing>
        <wp:inline distT="0" distB="0" distL="114300" distR="114300">
          <wp:extent cx="276860" cy="275590"/>
          <wp:effectExtent l="0" t="0" r="8890" b="10160"/>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pic:cNvPicPr>
                </pic:nvPicPr>
                <pic:blipFill>
                  <a:blip r:embed="rId1"/>
                  <a:stretch>
                    <a:fillRect/>
                  </a:stretch>
                </pic:blipFill>
                <pic:spPr>
                  <a:xfrm flipV="1">
                    <a:off x="0" y="0"/>
                    <a:ext cx="276860" cy="275590"/>
                  </a:xfrm>
                  <a:prstGeom prst="rect">
                    <a:avLst/>
                  </a:prstGeom>
                  <a:noFill/>
                  <a:ln>
                    <a:noFill/>
                  </a:ln>
                </pic:spPr>
              </pic:pic>
            </a:graphicData>
          </a:graphic>
        </wp:inline>
      </w:drawing>
    </w:r>
    <w:r>
      <w:rPr>
        <w:rFonts w:hint="eastAsia"/>
        <w:u w:val="none"/>
      </w:rPr>
      <w:t xml:space="preserve"> </w:t>
    </w:r>
    <w:r>
      <w:rPr>
        <w:rFonts w:hint="eastAsia"/>
        <w:u w:val="none"/>
        <w:lang w:val="en-US" w:eastAsia="zh-CN"/>
      </w:rPr>
      <w:t>江苏常信招标代理有限公司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rPr>
        <w:rFonts w:hint="default" w:eastAsia="宋体"/>
        <w:lang w:val="en-US" w:eastAsia="zh-CN"/>
      </w:rPr>
    </w:pPr>
    <w:r>
      <w:rPr>
        <w:rFonts w:hint="eastAsia"/>
        <w:u w:val="none"/>
      </w:rPr>
      <w:t xml:space="preserve"> </w:t>
    </w:r>
    <w:r>
      <w:rPr>
        <w:rFonts w:hint="eastAsia"/>
        <w:u w:val="none"/>
      </w:rPr>
      <w:drawing>
        <wp:inline distT="0" distB="0" distL="114300" distR="114300">
          <wp:extent cx="276860" cy="275590"/>
          <wp:effectExtent l="0" t="0" r="8890" b="1016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flipV="1">
                    <a:off x="0" y="0"/>
                    <a:ext cx="276860" cy="275590"/>
                  </a:xfrm>
                  <a:prstGeom prst="rect">
                    <a:avLst/>
                  </a:prstGeom>
                  <a:noFill/>
                  <a:ln>
                    <a:noFill/>
                  </a:ln>
                </pic:spPr>
              </pic:pic>
            </a:graphicData>
          </a:graphic>
        </wp:inline>
      </w:drawing>
    </w:r>
    <w:r>
      <w:rPr>
        <w:rFonts w:hint="eastAsia"/>
        <w:u w:val="none"/>
      </w:rPr>
      <w:t xml:space="preserve"> </w:t>
    </w:r>
    <w:r>
      <w:rPr>
        <w:rFonts w:hint="eastAsia"/>
        <w:u w:val="none"/>
        <w:lang w:val="en-US" w:eastAsia="zh-CN"/>
      </w:rPr>
      <w:t>江苏常信招标代理有限公司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tabs>
        <w:tab w:val="right" w:pos="8307"/>
        <w:tab w:val="clear" w:pos="8306"/>
      </w:tabs>
      <w:jc w:val="right"/>
    </w:pPr>
    <w:r>
      <w:rPr>
        <w:rFonts w:hint="eastAsia"/>
        <w:u w:val="none"/>
      </w:rPr>
      <w:drawing>
        <wp:inline distT="0" distB="0" distL="114300" distR="114300">
          <wp:extent cx="276860" cy="275590"/>
          <wp:effectExtent l="0" t="0" r="8890" b="10160"/>
          <wp:docPr id="10"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logo"/>
                  <pic:cNvPicPr>
                    <a:picLocks noChangeAspect="1"/>
                  </pic:cNvPicPr>
                </pic:nvPicPr>
                <pic:blipFill>
                  <a:blip r:embed="rId1"/>
                  <a:stretch>
                    <a:fillRect/>
                  </a:stretch>
                </pic:blipFill>
                <pic:spPr>
                  <a:xfrm flipV="1">
                    <a:off x="0" y="0"/>
                    <a:ext cx="276860" cy="275590"/>
                  </a:xfrm>
                  <a:prstGeom prst="rect">
                    <a:avLst/>
                  </a:prstGeom>
                  <a:noFill/>
                  <a:ln>
                    <a:noFill/>
                  </a:ln>
                </pic:spPr>
              </pic:pic>
            </a:graphicData>
          </a:graphic>
        </wp:inline>
      </w:drawing>
    </w:r>
    <w:r>
      <w:rPr>
        <w:rFonts w:hint="eastAsia"/>
        <w:lang w:val="en-US" w:eastAsia="zh-CN"/>
      </w:rPr>
      <w:t>江苏常信招标代理有限公司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4" w:space="0"/>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lang w:val="en-US" w:eastAsia="zh-CN"/>
      </w:rPr>
      <w:t>江苏常信招标代理有限公司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RiZDBiOWQ4MTFlMWMxZjcwNWQ2YjUwZGM4ODkxMW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3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0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D7"/>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74E54"/>
    <w:rsid w:val="01FD7E4B"/>
    <w:rsid w:val="022C24DE"/>
    <w:rsid w:val="02404E4B"/>
    <w:rsid w:val="024953BD"/>
    <w:rsid w:val="03771E7F"/>
    <w:rsid w:val="03A03184"/>
    <w:rsid w:val="03F31506"/>
    <w:rsid w:val="03FF388F"/>
    <w:rsid w:val="04EE1A81"/>
    <w:rsid w:val="052D161A"/>
    <w:rsid w:val="05302178"/>
    <w:rsid w:val="054B1EFF"/>
    <w:rsid w:val="0575419C"/>
    <w:rsid w:val="05B922DB"/>
    <w:rsid w:val="05BC10BA"/>
    <w:rsid w:val="05CD5D86"/>
    <w:rsid w:val="05D05580"/>
    <w:rsid w:val="05DB04A3"/>
    <w:rsid w:val="05DB212F"/>
    <w:rsid w:val="05EC445F"/>
    <w:rsid w:val="060D3928"/>
    <w:rsid w:val="06292650"/>
    <w:rsid w:val="06363AB5"/>
    <w:rsid w:val="06833C8D"/>
    <w:rsid w:val="069F7723"/>
    <w:rsid w:val="06A21217"/>
    <w:rsid w:val="06C70A28"/>
    <w:rsid w:val="06C76E96"/>
    <w:rsid w:val="06DD024B"/>
    <w:rsid w:val="06FC4B75"/>
    <w:rsid w:val="07353D1F"/>
    <w:rsid w:val="08245D26"/>
    <w:rsid w:val="084314D4"/>
    <w:rsid w:val="08CF1E16"/>
    <w:rsid w:val="08F572AA"/>
    <w:rsid w:val="09120680"/>
    <w:rsid w:val="09AB20DD"/>
    <w:rsid w:val="0A1C108A"/>
    <w:rsid w:val="0A4C5E14"/>
    <w:rsid w:val="0A5151D8"/>
    <w:rsid w:val="0A7315F2"/>
    <w:rsid w:val="0AB5299F"/>
    <w:rsid w:val="0B264B83"/>
    <w:rsid w:val="0B660C1A"/>
    <w:rsid w:val="0B687B0C"/>
    <w:rsid w:val="0B6B22C9"/>
    <w:rsid w:val="0B8B471A"/>
    <w:rsid w:val="0BBE56B0"/>
    <w:rsid w:val="0BDA2FAB"/>
    <w:rsid w:val="0C175484"/>
    <w:rsid w:val="0C1A2B4D"/>
    <w:rsid w:val="0C50326D"/>
    <w:rsid w:val="0C9C64B3"/>
    <w:rsid w:val="0C9D4705"/>
    <w:rsid w:val="0CB657C6"/>
    <w:rsid w:val="0CD8273D"/>
    <w:rsid w:val="0CEA4A1B"/>
    <w:rsid w:val="0D1F336B"/>
    <w:rsid w:val="0D3E2B00"/>
    <w:rsid w:val="0DBB5F06"/>
    <w:rsid w:val="0DBE7264"/>
    <w:rsid w:val="0E0367E9"/>
    <w:rsid w:val="0E327A6B"/>
    <w:rsid w:val="0E767FF6"/>
    <w:rsid w:val="0E9A3896"/>
    <w:rsid w:val="0EAA4EB7"/>
    <w:rsid w:val="0ECA37AB"/>
    <w:rsid w:val="0EFE5203"/>
    <w:rsid w:val="0F511CB0"/>
    <w:rsid w:val="0F900551"/>
    <w:rsid w:val="0FAD1102"/>
    <w:rsid w:val="10810556"/>
    <w:rsid w:val="10A74353"/>
    <w:rsid w:val="11551FB6"/>
    <w:rsid w:val="11823EC9"/>
    <w:rsid w:val="11892ED5"/>
    <w:rsid w:val="124473D0"/>
    <w:rsid w:val="12655CC4"/>
    <w:rsid w:val="126E5AD1"/>
    <w:rsid w:val="12A10CC7"/>
    <w:rsid w:val="13573133"/>
    <w:rsid w:val="135A22FA"/>
    <w:rsid w:val="136715C8"/>
    <w:rsid w:val="146B5811"/>
    <w:rsid w:val="147320BA"/>
    <w:rsid w:val="14951E1C"/>
    <w:rsid w:val="15E65197"/>
    <w:rsid w:val="15F1786F"/>
    <w:rsid w:val="1628354E"/>
    <w:rsid w:val="16504596"/>
    <w:rsid w:val="167069E6"/>
    <w:rsid w:val="168E5998"/>
    <w:rsid w:val="176547B3"/>
    <w:rsid w:val="176E235A"/>
    <w:rsid w:val="17981B44"/>
    <w:rsid w:val="17F93E0B"/>
    <w:rsid w:val="17FF5486"/>
    <w:rsid w:val="1821268E"/>
    <w:rsid w:val="18484BFF"/>
    <w:rsid w:val="184C6FDF"/>
    <w:rsid w:val="18A961DF"/>
    <w:rsid w:val="18ED6A14"/>
    <w:rsid w:val="18EE1997"/>
    <w:rsid w:val="193B777F"/>
    <w:rsid w:val="197573EE"/>
    <w:rsid w:val="19D379B8"/>
    <w:rsid w:val="19FB2A6A"/>
    <w:rsid w:val="1A7B3BAB"/>
    <w:rsid w:val="1ABF2C9B"/>
    <w:rsid w:val="1B160B8E"/>
    <w:rsid w:val="1B28788F"/>
    <w:rsid w:val="1BB65484"/>
    <w:rsid w:val="1BF260EF"/>
    <w:rsid w:val="1C055E22"/>
    <w:rsid w:val="1C071B9A"/>
    <w:rsid w:val="1C116575"/>
    <w:rsid w:val="1C455CA5"/>
    <w:rsid w:val="1C877F90"/>
    <w:rsid w:val="1CA05B4B"/>
    <w:rsid w:val="1CF57C45"/>
    <w:rsid w:val="1D2C69D2"/>
    <w:rsid w:val="1D4D31F3"/>
    <w:rsid w:val="1D652A2D"/>
    <w:rsid w:val="1D9236E6"/>
    <w:rsid w:val="1DB81DAD"/>
    <w:rsid w:val="1DE853CE"/>
    <w:rsid w:val="1DEF0B38"/>
    <w:rsid w:val="1E0F2F88"/>
    <w:rsid w:val="1EA679F3"/>
    <w:rsid w:val="1EFC2014"/>
    <w:rsid w:val="1F0E4FEE"/>
    <w:rsid w:val="1F1D184E"/>
    <w:rsid w:val="1F316D61"/>
    <w:rsid w:val="1FA2402F"/>
    <w:rsid w:val="1FB76466"/>
    <w:rsid w:val="1FC76EAD"/>
    <w:rsid w:val="1FF94191"/>
    <w:rsid w:val="20346CD6"/>
    <w:rsid w:val="203B1E13"/>
    <w:rsid w:val="20E57FD0"/>
    <w:rsid w:val="21052421"/>
    <w:rsid w:val="21556F04"/>
    <w:rsid w:val="215B4B2D"/>
    <w:rsid w:val="21621621"/>
    <w:rsid w:val="21AE4227"/>
    <w:rsid w:val="22D056CD"/>
    <w:rsid w:val="22D95913"/>
    <w:rsid w:val="239E00B4"/>
    <w:rsid w:val="23AE44EE"/>
    <w:rsid w:val="23FC5D5D"/>
    <w:rsid w:val="23FF6434"/>
    <w:rsid w:val="243F5C4A"/>
    <w:rsid w:val="24406C3F"/>
    <w:rsid w:val="24724271"/>
    <w:rsid w:val="24AA3D15"/>
    <w:rsid w:val="24FD1D8D"/>
    <w:rsid w:val="251E74A4"/>
    <w:rsid w:val="252D1CAF"/>
    <w:rsid w:val="253B27E5"/>
    <w:rsid w:val="25551BC9"/>
    <w:rsid w:val="255D1DF3"/>
    <w:rsid w:val="255F7AB5"/>
    <w:rsid w:val="257F09F3"/>
    <w:rsid w:val="260F7B9A"/>
    <w:rsid w:val="26284BE7"/>
    <w:rsid w:val="26BE379D"/>
    <w:rsid w:val="27562819"/>
    <w:rsid w:val="27843CE5"/>
    <w:rsid w:val="278510E4"/>
    <w:rsid w:val="27F972EF"/>
    <w:rsid w:val="28877B0F"/>
    <w:rsid w:val="28DA4193"/>
    <w:rsid w:val="293B10D5"/>
    <w:rsid w:val="2A6A2C93"/>
    <w:rsid w:val="2AB21193"/>
    <w:rsid w:val="2ABC6E4B"/>
    <w:rsid w:val="2B1149A7"/>
    <w:rsid w:val="2BF8505C"/>
    <w:rsid w:val="2C0C6D59"/>
    <w:rsid w:val="2C954FA0"/>
    <w:rsid w:val="2CFA7FF7"/>
    <w:rsid w:val="2CFF241A"/>
    <w:rsid w:val="2D2105E2"/>
    <w:rsid w:val="2D47158E"/>
    <w:rsid w:val="2DEF248E"/>
    <w:rsid w:val="2E23315A"/>
    <w:rsid w:val="2E7C6F6A"/>
    <w:rsid w:val="2EA5670C"/>
    <w:rsid w:val="2EAB2859"/>
    <w:rsid w:val="2EB07E70"/>
    <w:rsid w:val="2EDD678B"/>
    <w:rsid w:val="2F177EEF"/>
    <w:rsid w:val="2FA73513"/>
    <w:rsid w:val="30744ECD"/>
    <w:rsid w:val="30C7726B"/>
    <w:rsid w:val="312E69D6"/>
    <w:rsid w:val="31723B02"/>
    <w:rsid w:val="31A11CF2"/>
    <w:rsid w:val="31CA749A"/>
    <w:rsid w:val="32766DC9"/>
    <w:rsid w:val="32851613"/>
    <w:rsid w:val="328F5FEE"/>
    <w:rsid w:val="329830F5"/>
    <w:rsid w:val="32BC3287"/>
    <w:rsid w:val="32BF0681"/>
    <w:rsid w:val="32EB653A"/>
    <w:rsid w:val="32F80CFE"/>
    <w:rsid w:val="337551E4"/>
    <w:rsid w:val="33E2361A"/>
    <w:rsid w:val="33E81E5A"/>
    <w:rsid w:val="34264730"/>
    <w:rsid w:val="34A044E2"/>
    <w:rsid w:val="34C46423"/>
    <w:rsid w:val="34D83C7C"/>
    <w:rsid w:val="352D6747"/>
    <w:rsid w:val="35342044"/>
    <w:rsid w:val="353A0493"/>
    <w:rsid w:val="353A66E5"/>
    <w:rsid w:val="358B6F41"/>
    <w:rsid w:val="35BF4E3C"/>
    <w:rsid w:val="36806379"/>
    <w:rsid w:val="36DF5796"/>
    <w:rsid w:val="37117919"/>
    <w:rsid w:val="37C64260"/>
    <w:rsid w:val="38212BA4"/>
    <w:rsid w:val="384412E5"/>
    <w:rsid w:val="385563B7"/>
    <w:rsid w:val="387C7014"/>
    <w:rsid w:val="38AC3FBE"/>
    <w:rsid w:val="38C61316"/>
    <w:rsid w:val="38CD5337"/>
    <w:rsid w:val="390019F4"/>
    <w:rsid w:val="397139B8"/>
    <w:rsid w:val="3971469F"/>
    <w:rsid w:val="39AE31FE"/>
    <w:rsid w:val="39B95A6C"/>
    <w:rsid w:val="39DE1D35"/>
    <w:rsid w:val="39ED3381"/>
    <w:rsid w:val="3A47393F"/>
    <w:rsid w:val="3ACC3442"/>
    <w:rsid w:val="3BC46D08"/>
    <w:rsid w:val="3BCB6780"/>
    <w:rsid w:val="3CF86D14"/>
    <w:rsid w:val="3D5F13DF"/>
    <w:rsid w:val="3DAC3EF8"/>
    <w:rsid w:val="3DBF1E7D"/>
    <w:rsid w:val="3E622809"/>
    <w:rsid w:val="3E7F160D"/>
    <w:rsid w:val="3E925924"/>
    <w:rsid w:val="3E95498C"/>
    <w:rsid w:val="3E9E7CE5"/>
    <w:rsid w:val="3F03404E"/>
    <w:rsid w:val="3F125FDD"/>
    <w:rsid w:val="3F740A45"/>
    <w:rsid w:val="3FCF2120"/>
    <w:rsid w:val="3FF5F3AE"/>
    <w:rsid w:val="3FF82441"/>
    <w:rsid w:val="4013200C"/>
    <w:rsid w:val="40922A66"/>
    <w:rsid w:val="412A3AB2"/>
    <w:rsid w:val="41405083"/>
    <w:rsid w:val="414A6985"/>
    <w:rsid w:val="41517290"/>
    <w:rsid w:val="41FB0F6D"/>
    <w:rsid w:val="421A3B26"/>
    <w:rsid w:val="421B7D4F"/>
    <w:rsid w:val="423821FE"/>
    <w:rsid w:val="42764AD5"/>
    <w:rsid w:val="42CD0A98"/>
    <w:rsid w:val="42D27F5D"/>
    <w:rsid w:val="42F223AD"/>
    <w:rsid w:val="430F11B1"/>
    <w:rsid w:val="431A0C09"/>
    <w:rsid w:val="4368266F"/>
    <w:rsid w:val="436B215F"/>
    <w:rsid w:val="43D2345F"/>
    <w:rsid w:val="440B1839"/>
    <w:rsid w:val="442742D8"/>
    <w:rsid w:val="44604B4B"/>
    <w:rsid w:val="44DE708D"/>
    <w:rsid w:val="45A73923"/>
    <w:rsid w:val="45B55914"/>
    <w:rsid w:val="45BC6CA2"/>
    <w:rsid w:val="46013300"/>
    <w:rsid w:val="4629258A"/>
    <w:rsid w:val="462F72C8"/>
    <w:rsid w:val="471825FE"/>
    <w:rsid w:val="47372A84"/>
    <w:rsid w:val="473A6980"/>
    <w:rsid w:val="47486A40"/>
    <w:rsid w:val="480E2158"/>
    <w:rsid w:val="48254FD3"/>
    <w:rsid w:val="48875716"/>
    <w:rsid w:val="48AB220D"/>
    <w:rsid w:val="48BB2867"/>
    <w:rsid w:val="48E46744"/>
    <w:rsid w:val="4950067B"/>
    <w:rsid w:val="495518E8"/>
    <w:rsid w:val="496B0B24"/>
    <w:rsid w:val="498D7FE5"/>
    <w:rsid w:val="49920446"/>
    <w:rsid w:val="49CA2539"/>
    <w:rsid w:val="49D653E2"/>
    <w:rsid w:val="4A37230B"/>
    <w:rsid w:val="4A5E47CC"/>
    <w:rsid w:val="4A873D23"/>
    <w:rsid w:val="4AAF1912"/>
    <w:rsid w:val="4B041660"/>
    <w:rsid w:val="4B65373A"/>
    <w:rsid w:val="4BA66DDA"/>
    <w:rsid w:val="4BB44F0C"/>
    <w:rsid w:val="4C003D8D"/>
    <w:rsid w:val="4C0B2731"/>
    <w:rsid w:val="4C4179AC"/>
    <w:rsid w:val="4CAC181F"/>
    <w:rsid w:val="4CAE14C4"/>
    <w:rsid w:val="4CC528E0"/>
    <w:rsid w:val="4CDA1B69"/>
    <w:rsid w:val="4D00163A"/>
    <w:rsid w:val="4D553C64"/>
    <w:rsid w:val="4D902EEE"/>
    <w:rsid w:val="4D9179AB"/>
    <w:rsid w:val="4DAE15C6"/>
    <w:rsid w:val="4E0D4016"/>
    <w:rsid w:val="4E1C0C26"/>
    <w:rsid w:val="4E3447B1"/>
    <w:rsid w:val="4E4F6905"/>
    <w:rsid w:val="4EAD211D"/>
    <w:rsid w:val="4EDC4157"/>
    <w:rsid w:val="4EEC6853"/>
    <w:rsid w:val="4F005E52"/>
    <w:rsid w:val="4F0F5BE3"/>
    <w:rsid w:val="4F2F25C0"/>
    <w:rsid w:val="4F6528EC"/>
    <w:rsid w:val="4F654FC7"/>
    <w:rsid w:val="50067498"/>
    <w:rsid w:val="50151DD1"/>
    <w:rsid w:val="502142D2"/>
    <w:rsid w:val="503A5393"/>
    <w:rsid w:val="504F4879"/>
    <w:rsid w:val="507E34D2"/>
    <w:rsid w:val="50800E14"/>
    <w:rsid w:val="50AD2009"/>
    <w:rsid w:val="50B12FCB"/>
    <w:rsid w:val="50C335DB"/>
    <w:rsid w:val="51040116"/>
    <w:rsid w:val="513B7615"/>
    <w:rsid w:val="514209A3"/>
    <w:rsid w:val="51C615D4"/>
    <w:rsid w:val="52422029"/>
    <w:rsid w:val="52CD0741"/>
    <w:rsid w:val="52D90E94"/>
    <w:rsid w:val="530C40A2"/>
    <w:rsid w:val="533B33F8"/>
    <w:rsid w:val="537A001E"/>
    <w:rsid w:val="53BD6A07"/>
    <w:rsid w:val="53E144A4"/>
    <w:rsid w:val="542720D3"/>
    <w:rsid w:val="543D5452"/>
    <w:rsid w:val="545C3B2A"/>
    <w:rsid w:val="549332C4"/>
    <w:rsid w:val="54D05148"/>
    <w:rsid w:val="54E26B92"/>
    <w:rsid w:val="55040901"/>
    <w:rsid w:val="55456CB4"/>
    <w:rsid w:val="55833339"/>
    <w:rsid w:val="55A82D9F"/>
    <w:rsid w:val="55DB4F23"/>
    <w:rsid w:val="56424FA2"/>
    <w:rsid w:val="569A4DDE"/>
    <w:rsid w:val="56B714EC"/>
    <w:rsid w:val="56C72EB7"/>
    <w:rsid w:val="56DF05DE"/>
    <w:rsid w:val="570D3D61"/>
    <w:rsid w:val="57631674"/>
    <w:rsid w:val="57877110"/>
    <w:rsid w:val="57967CD6"/>
    <w:rsid w:val="57FC6189"/>
    <w:rsid w:val="57FD73D2"/>
    <w:rsid w:val="589A13CF"/>
    <w:rsid w:val="589E0876"/>
    <w:rsid w:val="58A93736"/>
    <w:rsid w:val="593A51BD"/>
    <w:rsid w:val="594159E5"/>
    <w:rsid w:val="594D6137"/>
    <w:rsid w:val="596673BA"/>
    <w:rsid w:val="59A321FB"/>
    <w:rsid w:val="59BA4A44"/>
    <w:rsid w:val="59CD1026"/>
    <w:rsid w:val="5A0E58C7"/>
    <w:rsid w:val="5A274BDA"/>
    <w:rsid w:val="5A9B2ED2"/>
    <w:rsid w:val="5AB85F0C"/>
    <w:rsid w:val="5B236CC1"/>
    <w:rsid w:val="5BC70423"/>
    <w:rsid w:val="5BE663CF"/>
    <w:rsid w:val="5BF8682E"/>
    <w:rsid w:val="5C2C472A"/>
    <w:rsid w:val="5C434547"/>
    <w:rsid w:val="5C8005D2"/>
    <w:rsid w:val="5C824AD4"/>
    <w:rsid w:val="5D7134FA"/>
    <w:rsid w:val="5DA30A1C"/>
    <w:rsid w:val="5DB9708F"/>
    <w:rsid w:val="5E0F4393"/>
    <w:rsid w:val="5E60690D"/>
    <w:rsid w:val="5EA861C7"/>
    <w:rsid w:val="5EB34C8F"/>
    <w:rsid w:val="5F047298"/>
    <w:rsid w:val="5F073306"/>
    <w:rsid w:val="5F1576F7"/>
    <w:rsid w:val="5F3A3711"/>
    <w:rsid w:val="5F4B4EC7"/>
    <w:rsid w:val="5F5F73B9"/>
    <w:rsid w:val="5F682E77"/>
    <w:rsid w:val="5F97010C"/>
    <w:rsid w:val="5FA060B4"/>
    <w:rsid w:val="5FAD16DE"/>
    <w:rsid w:val="5FDB1B0B"/>
    <w:rsid w:val="5FDF3861"/>
    <w:rsid w:val="5FE11B60"/>
    <w:rsid w:val="60193217"/>
    <w:rsid w:val="6028345A"/>
    <w:rsid w:val="609B59DA"/>
    <w:rsid w:val="60AE3D16"/>
    <w:rsid w:val="60D66924"/>
    <w:rsid w:val="61192286"/>
    <w:rsid w:val="615D0EE2"/>
    <w:rsid w:val="61671D60"/>
    <w:rsid w:val="617526CF"/>
    <w:rsid w:val="617A1A94"/>
    <w:rsid w:val="618B5A4F"/>
    <w:rsid w:val="6192502F"/>
    <w:rsid w:val="624042D1"/>
    <w:rsid w:val="624C1682"/>
    <w:rsid w:val="625422E5"/>
    <w:rsid w:val="632223E3"/>
    <w:rsid w:val="63310878"/>
    <w:rsid w:val="635C3B47"/>
    <w:rsid w:val="63A948B2"/>
    <w:rsid w:val="63BA261B"/>
    <w:rsid w:val="63F35B2D"/>
    <w:rsid w:val="640D642F"/>
    <w:rsid w:val="64155696"/>
    <w:rsid w:val="641E0DFC"/>
    <w:rsid w:val="64460353"/>
    <w:rsid w:val="64502F80"/>
    <w:rsid w:val="64540C10"/>
    <w:rsid w:val="646F4D29"/>
    <w:rsid w:val="64E04304"/>
    <w:rsid w:val="65A65C46"/>
    <w:rsid w:val="66387135"/>
    <w:rsid w:val="663D0CDA"/>
    <w:rsid w:val="66432D9C"/>
    <w:rsid w:val="66C92707"/>
    <w:rsid w:val="67472418"/>
    <w:rsid w:val="674A28EC"/>
    <w:rsid w:val="6791718B"/>
    <w:rsid w:val="67982C74"/>
    <w:rsid w:val="67FC3283"/>
    <w:rsid w:val="68357B31"/>
    <w:rsid w:val="6838144E"/>
    <w:rsid w:val="685C1EF3"/>
    <w:rsid w:val="68637725"/>
    <w:rsid w:val="68AA7398"/>
    <w:rsid w:val="68B27D65"/>
    <w:rsid w:val="68D23669"/>
    <w:rsid w:val="68DE6A40"/>
    <w:rsid w:val="69443481"/>
    <w:rsid w:val="697B284D"/>
    <w:rsid w:val="699A4857"/>
    <w:rsid w:val="69AF56C4"/>
    <w:rsid w:val="6A116D0D"/>
    <w:rsid w:val="6AB04778"/>
    <w:rsid w:val="6AB2653C"/>
    <w:rsid w:val="6B2B3DFF"/>
    <w:rsid w:val="6B8A4FC9"/>
    <w:rsid w:val="6C0639DD"/>
    <w:rsid w:val="6CBF1C7C"/>
    <w:rsid w:val="6D480C98"/>
    <w:rsid w:val="6D4F0278"/>
    <w:rsid w:val="6DAA54AF"/>
    <w:rsid w:val="6E041E9F"/>
    <w:rsid w:val="6E292877"/>
    <w:rsid w:val="6E7D2BC3"/>
    <w:rsid w:val="6F484F7F"/>
    <w:rsid w:val="6FA67EF8"/>
    <w:rsid w:val="6FDD7DBD"/>
    <w:rsid w:val="707B3132"/>
    <w:rsid w:val="70B22512"/>
    <w:rsid w:val="70F3716D"/>
    <w:rsid w:val="7113780F"/>
    <w:rsid w:val="71374023"/>
    <w:rsid w:val="715220E5"/>
    <w:rsid w:val="71777D9E"/>
    <w:rsid w:val="71894C66"/>
    <w:rsid w:val="71902C0D"/>
    <w:rsid w:val="71DE52FC"/>
    <w:rsid w:val="71FB09CF"/>
    <w:rsid w:val="72534367"/>
    <w:rsid w:val="725E4ABA"/>
    <w:rsid w:val="728B0673"/>
    <w:rsid w:val="729A3D44"/>
    <w:rsid w:val="73351CBE"/>
    <w:rsid w:val="734C0DB6"/>
    <w:rsid w:val="73C3551C"/>
    <w:rsid w:val="73D52157"/>
    <w:rsid w:val="741E09A4"/>
    <w:rsid w:val="742C597A"/>
    <w:rsid w:val="744C2F4F"/>
    <w:rsid w:val="74B530B7"/>
    <w:rsid w:val="74C74B98"/>
    <w:rsid w:val="74EA0887"/>
    <w:rsid w:val="751E51E9"/>
    <w:rsid w:val="7530273D"/>
    <w:rsid w:val="75324707"/>
    <w:rsid w:val="754461E9"/>
    <w:rsid w:val="75720FA8"/>
    <w:rsid w:val="7592088C"/>
    <w:rsid w:val="75A82C1C"/>
    <w:rsid w:val="761D3D4F"/>
    <w:rsid w:val="76375D4D"/>
    <w:rsid w:val="7641097A"/>
    <w:rsid w:val="765B1410"/>
    <w:rsid w:val="767D548B"/>
    <w:rsid w:val="76C70E7F"/>
    <w:rsid w:val="76E65BC7"/>
    <w:rsid w:val="77635CA7"/>
    <w:rsid w:val="77E31CE9"/>
    <w:rsid w:val="77EE263D"/>
    <w:rsid w:val="78036166"/>
    <w:rsid w:val="78280044"/>
    <w:rsid w:val="78446EE1"/>
    <w:rsid w:val="788F1E71"/>
    <w:rsid w:val="78EB2E85"/>
    <w:rsid w:val="792151BF"/>
    <w:rsid w:val="79340356"/>
    <w:rsid w:val="794762A8"/>
    <w:rsid w:val="79955265"/>
    <w:rsid w:val="79B17BC5"/>
    <w:rsid w:val="79B37DE1"/>
    <w:rsid w:val="7A24634F"/>
    <w:rsid w:val="7A28432B"/>
    <w:rsid w:val="7A3525A4"/>
    <w:rsid w:val="7A4A42A1"/>
    <w:rsid w:val="7A772BBC"/>
    <w:rsid w:val="7A79248C"/>
    <w:rsid w:val="7AC879C2"/>
    <w:rsid w:val="7AE364A4"/>
    <w:rsid w:val="7AE51BA0"/>
    <w:rsid w:val="7B073F40"/>
    <w:rsid w:val="7B2D74A8"/>
    <w:rsid w:val="7BA45C33"/>
    <w:rsid w:val="7BA62136"/>
    <w:rsid w:val="7BBB4D2B"/>
    <w:rsid w:val="7C3B3EC8"/>
    <w:rsid w:val="7C6B0A4C"/>
    <w:rsid w:val="7C8C2AE3"/>
    <w:rsid w:val="7CAF663E"/>
    <w:rsid w:val="7CCF6CE0"/>
    <w:rsid w:val="7CFA30B1"/>
    <w:rsid w:val="7DAF266D"/>
    <w:rsid w:val="7DDC663D"/>
    <w:rsid w:val="7E417769"/>
    <w:rsid w:val="7EB97C47"/>
    <w:rsid w:val="7EBC06EE"/>
    <w:rsid w:val="7EC65EC0"/>
    <w:rsid w:val="7ED00AED"/>
    <w:rsid w:val="7EDE145C"/>
    <w:rsid w:val="7F836DA2"/>
    <w:rsid w:val="7FD840FD"/>
    <w:rsid w:val="DF7AD8D6"/>
    <w:rsid w:val="F3EFEC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Style w:val="44"/>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
    <w:link w:val="68"/>
    <w:qFormat/>
    <w:uiPriority w:val="0"/>
    <w:pPr>
      <w:tabs>
        <w:tab w:val="left" w:pos="567"/>
      </w:tabs>
      <w:spacing w:before="120" w:line="22" w:lineRule="atLeast"/>
    </w:pPr>
    <w:rPr>
      <w:rFonts w:ascii="宋体" w:hAnsi="宋体"/>
      <w:sz w:val="24"/>
    </w:rPr>
  </w:style>
  <w:style w:type="paragraph" w:styleId="19">
    <w:name w:val="Body Text Indent"/>
    <w:basedOn w:val="1"/>
    <w:next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25"/>
    <w:link w:val="70"/>
    <w:qFormat/>
    <w:uiPriority w:val="0"/>
    <w:rPr>
      <w:rFonts w:hint="eastAsia" w:ascii="宋体" w:hAnsi="Courier New"/>
      <w:szCs w:val="20"/>
    </w:rPr>
  </w:style>
  <w:style w:type="paragraph" w:styleId="25">
    <w:name w:val="toc 4"/>
    <w:basedOn w:val="1"/>
    <w:next w:val="1"/>
    <w:qFormat/>
    <w:uiPriority w:val="0"/>
    <w:pPr>
      <w:ind w:left="1260" w:leftChars="600"/>
    </w:pPr>
  </w:style>
  <w:style w:type="paragraph" w:styleId="26">
    <w:name w:val="toc 8"/>
    <w:basedOn w:val="1"/>
    <w:next w:val="1"/>
    <w:qFormat/>
    <w:uiPriority w:val="0"/>
    <w:pPr>
      <w:ind w:left="2940" w:leftChars="1400"/>
    </w:pPr>
  </w:style>
  <w:style w:type="paragraph" w:styleId="27">
    <w:name w:val="Date"/>
    <w:basedOn w:val="1"/>
    <w:next w:val="1"/>
    <w:link w:val="71"/>
    <w:qFormat/>
    <w:uiPriority w:val="0"/>
    <w:pPr>
      <w:ind w:left="100" w:leftChars="2500"/>
    </w:pPr>
    <w:rPr>
      <w:rFonts w:ascii="仿宋_GB2312" w:hAnsi="宋体" w:eastAsia="仿宋_GB2312"/>
      <w:color w:val="000000"/>
      <w:sz w:val="24"/>
    </w:rPr>
  </w:style>
  <w:style w:type="paragraph" w:styleId="28">
    <w:name w:val="Body Text Indent 2"/>
    <w:basedOn w:val="1"/>
    <w:link w:val="72"/>
    <w:qFormat/>
    <w:uiPriority w:val="0"/>
    <w:pPr>
      <w:ind w:firstLine="480" w:firstLineChars="200"/>
    </w:pPr>
    <w:rPr>
      <w:rFonts w:ascii="仿宋_GB2312" w:eastAsia="仿宋_GB2312"/>
      <w:sz w:val="24"/>
    </w:rPr>
  </w:style>
  <w:style w:type="paragraph" w:styleId="29">
    <w:name w:val="Balloon Text"/>
    <w:basedOn w:val="1"/>
    <w:link w:val="73"/>
    <w:qFormat/>
    <w:uiPriority w:val="0"/>
    <w:rPr>
      <w:sz w:val="18"/>
      <w:szCs w:val="18"/>
    </w:rPr>
  </w:style>
  <w:style w:type="paragraph" w:styleId="30">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6"/>
    <w:next w:val="16"/>
    <w:link w:val="79"/>
    <w:qFormat/>
    <w:uiPriority w:val="0"/>
    <w:rPr>
      <w:b/>
      <w:bCs/>
    </w:rPr>
  </w:style>
  <w:style w:type="paragraph" w:styleId="42">
    <w:name w:val="Body Text First Indent"/>
    <w:basedOn w:val="18"/>
    <w:qFormat/>
    <w:uiPriority w:val="0"/>
    <w:pPr>
      <w:ind w:firstLine="420"/>
    </w:pPr>
    <w:rPr>
      <w:szCs w:val="20"/>
    </w:rPr>
  </w:style>
  <w:style w:type="paragraph" w:styleId="43">
    <w:name w:val="Body Text First Indent 2"/>
    <w:basedOn w:val="19"/>
    <w:next w:val="1"/>
    <w:link w:val="81"/>
    <w:qFormat/>
    <w:uiPriority w:val="0"/>
    <w:pPr>
      <w:spacing w:after="120" w:line="480" w:lineRule="exact"/>
      <w:ind w:left="420" w:leftChars="200" w:firstLine="420" w:firstLineChars="200"/>
    </w:pPr>
    <w:rPr>
      <w:szCs w:val="20"/>
    </w:rPr>
  </w:style>
  <w:style w:type="table" w:styleId="45">
    <w:name w:val="Table Grid"/>
    <w:basedOn w:val="44"/>
    <w:qFormat/>
    <w:uiPriority w:val="39"/>
    <w:tblPr>
      <w:tblStyle w:val="4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Style w:val="44"/>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4"/>
      </w:tblPr>
    </w:tblStylePr>
    <w:tblStylePr w:type="lastRow">
      <w:rPr>
        <w:b/>
        <w:bCs/>
      </w:rPr>
      <w:tblPr>
        <w:tblStyle w:val="44"/>
      </w:tblPr>
      <w:tcPr>
        <w:tcBorders>
          <w:top w:val="single" w:color="CF7B79" w:sz="18" w:space="0"/>
          <w:left w:val="nil"/>
          <w:bottom w:val="nil"/>
          <w:right w:val="nil"/>
          <w:insideH w:val="nil"/>
          <w:insideV w:val="nil"/>
          <w:tl2br w:val="nil"/>
          <w:tr2bl w:val="nil"/>
        </w:tcBorders>
      </w:tcPr>
    </w:tblStylePr>
    <w:tblStylePr w:type="firstCol">
      <w:rPr>
        <w:b/>
        <w:bCs/>
      </w:rPr>
      <w:tblPr>
        <w:tblStyle w:val="44"/>
      </w:tblPr>
    </w:tblStylePr>
    <w:tblStylePr w:type="lastCol">
      <w:rPr>
        <w:b/>
        <w:bCs/>
      </w:rPr>
      <w:tblPr>
        <w:tblStyle w:val="44"/>
      </w:tblPr>
    </w:tblStylePr>
    <w:tblStylePr w:type="band1Vert">
      <w:tblPr>
        <w:tblStyle w:val="44"/>
      </w:tblPr>
      <w:tcPr>
        <w:shd w:val="clear" w:color="auto" w:fill="DFA7A6"/>
      </w:tcPr>
    </w:tblStylePr>
    <w:tblStylePr w:type="band1Horz">
      <w:tblPr>
        <w:tblStyle w:val="44"/>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Char"/>
    <w:basedOn w:val="47"/>
    <w:link w:val="3"/>
    <w:qFormat/>
    <w:uiPriority w:val="0"/>
    <w:rPr>
      <w:rFonts w:ascii="宋体"/>
      <w:b/>
      <w:kern w:val="44"/>
      <w:sz w:val="32"/>
    </w:rPr>
  </w:style>
  <w:style w:type="character" w:customStyle="1" w:styleId="56">
    <w:name w:val="标题 2 Char1"/>
    <w:link w:val="4"/>
    <w:qFormat/>
    <w:uiPriority w:val="0"/>
    <w:rPr>
      <w:rFonts w:ascii="Arial" w:hAnsi="Arial" w:eastAsia="黑体"/>
      <w:b/>
      <w:sz w:val="30"/>
      <w:lang w:val="en-US" w:eastAsia="zh-CN" w:bidi="ar-SA"/>
    </w:rPr>
  </w:style>
  <w:style w:type="character" w:customStyle="1" w:styleId="57">
    <w:name w:val="正文缩进 Char1"/>
    <w:link w:val="5"/>
    <w:qFormat/>
    <w:uiPriority w:val="0"/>
    <w:rPr>
      <w:rFonts w:ascii="宋体" w:eastAsia="宋体"/>
      <w:kern w:val="2"/>
      <w:sz w:val="24"/>
      <w:szCs w:val="24"/>
      <w:lang w:val="en-US" w:eastAsia="zh-CN" w:bidi="ar-SA"/>
    </w:rPr>
  </w:style>
  <w:style w:type="character" w:customStyle="1" w:styleId="58">
    <w:name w:val="标题 3 Char1"/>
    <w:link w:val="6"/>
    <w:qFormat/>
    <w:uiPriority w:val="0"/>
    <w:rPr>
      <w:rFonts w:ascii="宋体" w:eastAsia="宋体"/>
      <w:b/>
      <w:sz w:val="24"/>
      <w:u w:val="single"/>
      <w:lang w:val="en-US" w:eastAsia="zh-CN" w:bidi="ar-SA"/>
    </w:rPr>
  </w:style>
  <w:style w:type="character" w:customStyle="1" w:styleId="59">
    <w:name w:val="标题 4 Char"/>
    <w:basedOn w:val="47"/>
    <w:link w:val="7"/>
    <w:qFormat/>
    <w:uiPriority w:val="0"/>
    <w:rPr>
      <w:rFonts w:ascii="Arial" w:hAnsi="Arial" w:eastAsia="黑体"/>
      <w:b/>
      <w:sz w:val="28"/>
    </w:rPr>
  </w:style>
  <w:style w:type="character" w:customStyle="1" w:styleId="60">
    <w:name w:val="标题 5 Char"/>
    <w:basedOn w:val="47"/>
    <w:link w:val="8"/>
    <w:qFormat/>
    <w:uiPriority w:val="0"/>
    <w:rPr>
      <w:b/>
      <w:sz w:val="28"/>
    </w:rPr>
  </w:style>
  <w:style w:type="character" w:customStyle="1" w:styleId="61">
    <w:name w:val="标题 6 Char"/>
    <w:basedOn w:val="47"/>
    <w:link w:val="9"/>
    <w:qFormat/>
    <w:uiPriority w:val="0"/>
    <w:rPr>
      <w:rFonts w:ascii="Arial" w:hAnsi="Arial" w:eastAsia="黑体"/>
      <w:b/>
      <w:sz w:val="24"/>
    </w:rPr>
  </w:style>
  <w:style w:type="character" w:customStyle="1" w:styleId="62">
    <w:name w:val="标题 7 Char"/>
    <w:basedOn w:val="47"/>
    <w:link w:val="10"/>
    <w:qFormat/>
    <w:uiPriority w:val="0"/>
    <w:rPr>
      <w:b/>
      <w:sz w:val="24"/>
    </w:rPr>
  </w:style>
  <w:style w:type="character" w:customStyle="1" w:styleId="63">
    <w:name w:val="标题 8 Char"/>
    <w:basedOn w:val="47"/>
    <w:link w:val="11"/>
    <w:qFormat/>
    <w:uiPriority w:val="0"/>
    <w:rPr>
      <w:rFonts w:ascii="Arial" w:hAnsi="Arial" w:eastAsia="黑体"/>
      <w:sz w:val="24"/>
    </w:rPr>
  </w:style>
  <w:style w:type="character" w:customStyle="1" w:styleId="64">
    <w:name w:val="标题 9 Char"/>
    <w:basedOn w:val="47"/>
    <w:link w:val="12"/>
    <w:qFormat/>
    <w:uiPriority w:val="0"/>
    <w:rPr>
      <w:rFonts w:ascii="Arial" w:hAnsi="Arial" w:eastAsia="黑体"/>
      <w:sz w:val="21"/>
    </w:rPr>
  </w:style>
  <w:style w:type="character" w:customStyle="1" w:styleId="65">
    <w:name w:val="文档结构图 Char"/>
    <w:basedOn w:val="47"/>
    <w:link w:val="15"/>
    <w:qFormat/>
    <w:uiPriority w:val="0"/>
    <w:rPr>
      <w:kern w:val="2"/>
      <w:sz w:val="21"/>
      <w:szCs w:val="24"/>
      <w:shd w:val="clear" w:color="auto" w:fill="000080"/>
    </w:rPr>
  </w:style>
  <w:style w:type="character" w:customStyle="1" w:styleId="66">
    <w:name w:val="批注文字 Char1"/>
    <w:link w:val="16"/>
    <w:qFormat/>
    <w:uiPriority w:val="99"/>
    <w:rPr>
      <w:kern w:val="2"/>
      <w:sz w:val="21"/>
      <w:szCs w:val="24"/>
    </w:rPr>
  </w:style>
  <w:style w:type="character" w:customStyle="1" w:styleId="67">
    <w:name w:val="正文文本 3 Char"/>
    <w:basedOn w:val="47"/>
    <w:link w:val="17"/>
    <w:qFormat/>
    <w:uiPriority w:val="0"/>
    <w:rPr>
      <w:kern w:val="2"/>
      <w:sz w:val="16"/>
      <w:szCs w:val="16"/>
    </w:rPr>
  </w:style>
  <w:style w:type="character" w:customStyle="1" w:styleId="68">
    <w:name w:val="正文文本 Char"/>
    <w:basedOn w:val="47"/>
    <w:link w:val="18"/>
    <w:qFormat/>
    <w:uiPriority w:val="0"/>
    <w:rPr>
      <w:rFonts w:ascii="宋体" w:hAnsi="宋体"/>
      <w:kern w:val="2"/>
      <w:sz w:val="24"/>
      <w:szCs w:val="24"/>
    </w:rPr>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纯文本 Char"/>
    <w:basedOn w:val="47"/>
    <w:link w:val="24"/>
    <w:qFormat/>
    <w:uiPriority w:val="0"/>
    <w:rPr>
      <w:rFonts w:hint="eastAsia" w:ascii="宋体" w:hAnsi="Courier New" w:eastAsia="宋体" w:cs="宋体"/>
      <w:kern w:val="2"/>
      <w:sz w:val="21"/>
    </w:rPr>
  </w:style>
  <w:style w:type="character" w:customStyle="1" w:styleId="71">
    <w:name w:val="日期 Char"/>
    <w:basedOn w:val="47"/>
    <w:link w:val="27"/>
    <w:qFormat/>
    <w:uiPriority w:val="0"/>
    <w:rPr>
      <w:rFonts w:ascii="仿宋_GB2312" w:hAnsi="宋体" w:eastAsia="仿宋_GB2312"/>
      <w:color w:val="000000"/>
      <w:kern w:val="2"/>
      <w:sz w:val="24"/>
      <w:szCs w:val="24"/>
    </w:rPr>
  </w:style>
  <w:style w:type="character" w:customStyle="1" w:styleId="72">
    <w:name w:val="正文文本缩进 2 Char"/>
    <w:basedOn w:val="47"/>
    <w:link w:val="28"/>
    <w:qFormat/>
    <w:uiPriority w:val="0"/>
    <w:rPr>
      <w:rFonts w:ascii="仿宋_GB2312" w:eastAsia="仿宋_GB2312"/>
      <w:kern w:val="2"/>
      <w:sz w:val="24"/>
      <w:szCs w:val="24"/>
    </w:rPr>
  </w:style>
  <w:style w:type="character" w:customStyle="1" w:styleId="73">
    <w:name w:val="批注框文本 Char"/>
    <w:basedOn w:val="47"/>
    <w:link w:val="29"/>
    <w:qFormat/>
    <w:uiPriority w:val="0"/>
    <w:rPr>
      <w:kern w:val="2"/>
      <w:sz w:val="18"/>
      <w:szCs w:val="18"/>
    </w:rPr>
  </w:style>
  <w:style w:type="character" w:customStyle="1" w:styleId="74">
    <w:name w:val="页脚 Char1"/>
    <w:link w:val="30"/>
    <w:qFormat/>
    <w:uiPriority w:val="99"/>
    <w:rPr>
      <w:rFonts w:ascii="宋体" w:eastAsia="宋体"/>
      <w:sz w:val="18"/>
      <w:lang w:val="en-US" w:eastAsia="zh-CN" w:bidi="ar-SA"/>
    </w:rPr>
  </w:style>
  <w:style w:type="character" w:customStyle="1" w:styleId="75">
    <w:name w:val="页眉 Char1"/>
    <w:link w:val="31"/>
    <w:qFormat/>
    <w:uiPriority w:val="0"/>
    <w:rPr>
      <w:rFonts w:eastAsia="宋体"/>
      <w:kern w:val="2"/>
      <w:sz w:val="18"/>
      <w:szCs w:val="18"/>
      <w:lang w:val="en-US" w:eastAsia="zh-CN" w:bidi="ar-SA"/>
    </w:rPr>
  </w:style>
  <w:style w:type="character" w:customStyle="1" w:styleId="76">
    <w:name w:val="正文文本缩进 3 Char"/>
    <w:basedOn w:val="47"/>
    <w:link w:val="34"/>
    <w:qFormat/>
    <w:uiPriority w:val="0"/>
    <w:rPr>
      <w:rFonts w:ascii="宋体"/>
      <w:sz w:val="24"/>
    </w:rPr>
  </w:style>
  <w:style w:type="character" w:customStyle="1" w:styleId="77">
    <w:name w:val="HTML 预设格式 Char"/>
    <w:basedOn w:val="47"/>
    <w:link w:val="37"/>
    <w:qFormat/>
    <w:uiPriority w:val="0"/>
    <w:rPr>
      <w:rFonts w:ascii="宋体" w:hAnsi="宋体" w:cs="宋体"/>
      <w:sz w:val="24"/>
      <w:szCs w:val="24"/>
    </w:rPr>
  </w:style>
  <w:style w:type="character" w:customStyle="1" w:styleId="78">
    <w:name w:val="标题 Char1"/>
    <w:link w:val="40"/>
    <w:qFormat/>
    <w:uiPriority w:val="0"/>
    <w:rPr>
      <w:b/>
      <w:kern w:val="2"/>
      <w:sz w:val="32"/>
    </w:rPr>
  </w:style>
  <w:style w:type="character" w:customStyle="1" w:styleId="79">
    <w:name w:val="批注主题 Char"/>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首行缩进 2 Char"/>
    <w:basedOn w:val="69"/>
    <w:link w:val="43"/>
    <w:qFormat/>
    <w:uiPriority w:val="0"/>
    <w:rPr>
      <w:rFonts w:eastAsia="宋体"/>
      <w:kern w:val="2"/>
      <w:sz w:val="24"/>
      <w:szCs w:val="24"/>
      <w:lang w:val="en-US" w:eastAsia="zh-CN" w:bidi="ar-SA"/>
    </w:rPr>
  </w:style>
  <w:style w:type="paragraph" w:customStyle="1" w:styleId="82">
    <w:name w:val="正文1"/>
    <w:basedOn w:val="1"/>
    <w:next w:val="1"/>
    <w:qFormat/>
    <w:uiPriority w:val="0"/>
    <w:pPr>
      <w:spacing w:before="120" w:line="360" w:lineRule="auto"/>
      <w:ind w:left="420" w:firstLine="527"/>
    </w:pPr>
    <w:rPr>
      <w:rFonts w:ascii="宋体" w:hAnsi="宋体"/>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Char1"/>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4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kern w:val="2"/>
      <w:sz w:val="21"/>
      <w:szCs w:val="24"/>
      <w:lang w:val="en-US" w:eastAsia="zh-CN" w:bidi="ar-SA"/>
    </w:rPr>
  </w:style>
  <w:style w:type="paragraph" w:customStyle="1" w:styleId="186">
    <w:name w:val="项目编号3"/>
    <w:basedOn w:val="147"/>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7"/>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bidi="ar-SA"/>
    </w:rPr>
  </w:style>
  <w:style w:type="paragraph" w:customStyle="1" w:styleId="197">
    <w:name w:val="1"/>
    <w:link w:val="196"/>
    <w:qFormat/>
    <w:uiPriority w:val="0"/>
    <w:rPr>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qFormat/>
    <w:uiPriority w:val="0"/>
    <w:rPr>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val="en-US" w:eastAsia="en-US" w:bidi="ar-SA"/>
    </w:rPr>
    <w:tblPr>
      <w:tblStyle w:val="44"/>
      <w:tblCellMar>
        <w:top w:w="0" w:type="dxa"/>
        <w:left w:w="0" w:type="dxa"/>
        <w:bottom w:w="0" w:type="dxa"/>
        <w:right w:w="0" w:type="dxa"/>
      </w:tblCellMar>
    </w:tblPr>
  </w:style>
  <w:style w:type="paragraph" w:customStyle="1" w:styleId="250">
    <w:name w:val="成文日期"/>
    <w:basedOn w:val="1"/>
    <w:link w:val="251"/>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1">
    <w:name w:val="成文日期 Char"/>
    <w:link w:val="250"/>
    <w:uiPriority w:val="0"/>
    <w:rPr>
      <w:rFonts w:ascii="仿宋_GB2312" w:eastAsia="仿宋_GB2312"/>
      <w:kern w:val="2"/>
      <w:sz w:val="32"/>
    </w:rPr>
  </w:style>
  <w:style w:type="paragraph" w:customStyle="1" w:styleId="252">
    <w:name w:val="无间隔1"/>
    <w:basedOn w:val="1"/>
    <w:qFormat/>
    <w:uiPriority w:val="99"/>
  </w:style>
  <w:style w:type="paragraph" w:customStyle="1" w:styleId="253">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正文内容"/>
    <w:basedOn w:val="1"/>
    <w:qFormat/>
    <w:uiPriority w:val="5"/>
    <w:pPr>
      <w:adjustRightInd w:val="0"/>
      <w:spacing w:line="360" w:lineRule="auto"/>
      <w:ind w:firstLine="200" w:firstLineChars="200"/>
    </w:pPr>
    <w:rPr>
      <w:rFonts w:ascii="Calibri" w:hAnsi="Calibri"/>
      <w:kern w:val="0"/>
      <w:sz w:val="24"/>
      <w:szCs w:val="20"/>
    </w:rPr>
  </w:style>
  <w:style w:type="paragraph" w:customStyle="1" w:styleId="255">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6">
    <w:name w:val="Plain Text1"/>
    <w:next w:val="25"/>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 w:type="character" w:customStyle="1" w:styleId="257">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26495</Words>
  <Characters>28210</Characters>
  <Lines>236</Lines>
  <Paragraphs>66</Paragraphs>
  <TotalTime>0</TotalTime>
  <ScaleCrop>false</ScaleCrop>
  <LinksUpToDate>false</LinksUpToDate>
  <CharactersWithSpaces>30084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2022-05-30T08:03:00Z</dcterms:created>
  <dc:creator>Yin Hao</dc:creator>
  <cp:lastModifiedBy>coppii</cp:lastModifiedBy>
  <cp:lastPrinted>2020-04-02T03:13:00Z</cp:lastPrinted>
  <dcterms:modified xsi:type="dcterms:W3CDTF">2022-11-10T02:48:23Z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4D9B6FB9B9084C178F27E2940A58B49E</vt:lpwstr>
  </property>
</Properties>
</file>